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2F84" w14:textId="77777777" w:rsidR="00D558F1" w:rsidRDefault="00D558F1" w:rsidP="0055006F">
      <w:pPr>
        <w:spacing w:after="0" w:line="240" w:lineRule="auto"/>
        <w:jc w:val="center"/>
        <w:rPr>
          <w:b/>
          <w:sz w:val="24"/>
          <w:szCs w:val="24"/>
          <w:u w:val="single"/>
        </w:rPr>
      </w:pPr>
      <w:r>
        <w:rPr>
          <w:b/>
          <w:noProof/>
          <w:sz w:val="24"/>
          <w:szCs w:val="24"/>
          <w:u w:val="single"/>
          <w:lang w:eastAsia="en-GB"/>
        </w:rPr>
        <w:drawing>
          <wp:anchor distT="0" distB="0" distL="114300" distR="114300" simplePos="0" relativeHeight="251658240" behindDoc="1" locked="1" layoutInCell="1" allowOverlap="1" wp14:anchorId="6C1B0FC8" wp14:editId="65396DBB">
            <wp:simplePos x="0" y="0"/>
            <wp:positionH relativeFrom="column">
              <wp:posOffset>-781685</wp:posOffset>
            </wp:positionH>
            <wp:positionV relativeFrom="paragraph">
              <wp:posOffset>-738505</wp:posOffset>
            </wp:positionV>
            <wp:extent cx="2857500" cy="1079500"/>
            <wp:effectExtent l="0" t="0" r="0" b="6350"/>
            <wp:wrapNone/>
            <wp:docPr id="1" name="Picture 1" descr="leaf RDC_ez_Pantone 364 EC 3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eaf RDC_ez_Pantone 364 EC 35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079500"/>
                    </a:xfrm>
                    <a:prstGeom prst="rect">
                      <a:avLst/>
                    </a:prstGeom>
                    <a:noFill/>
                  </pic:spPr>
                </pic:pic>
              </a:graphicData>
            </a:graphic>
            <wp14:sizeRelH relativeFrom="page">
              <wp14:pctWidth>0</wp14:pctWidth>
            </wp14:sizeRelH>
            <wp14:sizeRelV relativeFrom="page">
              <wp14:pctHeight>0</wp14:pctHeight>
            </wp14:sizeRelV>
          </wp:anchor>
        </w:drawing>
      </w:r>
    </w:p>
    <w:p w14:paraId="1B7C9A32" w14:textId="77777777" w:rsidR="00D558F1" w:rsidRDefault="00D558F1" w:rsidP="0055006F">
      <w:pPr>
        <w:spacing w:after="0" w:line="240" w:lineRule="auto"/>
        <w:jc w:val="center"/>
        <w:rPr>
          <w:b/>
          <w:sz w:val="24"/>
          <w:szCs w:val="24"/>
          <w:u w:val="single"/>
        </w:rPr>
      </w:pPr>
    </w:p>
    <w:p w14:paraId="16342F55" w14:textId="77777777" w:rsidR="0055006F" w:rsidRPr="00CB64CA" w:rsidRDefault="009C767E" w:rsidP="0055006F">
      <w:pPr>
        <w:spacing w:after="0" w:line="240" w:lineRule="auto"/>
        <w:jc w:val="center"/>
        <w:rPr>
          <w:b/>
          <w:sz w:val="24"/>
          <w:szCs w:val="24"/>
          <w:u w:val="single"/>
        </w:rPr>
      </w:pPr>
      <w:r w:rsidRPr="00CB64CA">
        <w:rPr>
          <w:b/>
          <w:sz w:val="24"/>
          <w:szCs w:val="24"/>
          <w:u w:val="single"/>
        </w:rPr>
        <w:t>ROCHFORD DISTRICT COUNCIL</w:t>
      </w:r>
      <w:r w:rsidR="00CB64CA">
        <w:rPr>
          <w:b/>
          <w:sz w:val="24"/>
          <w:szCs w:val="24"/>
          <w:u w:val="single"/>
        </w:rPr>
        <w:t xml:space="preserve"> </w:t>
      </w:r>
      <w:r w:rsidRPr="00CB64CA">
        <w:rPr>
          <w:b/>
          <w:sz w:val="24"/>
          <w:szCs w:val="24"/>
          <w:u w:val="single"/>
        </w:rPr>
        <w:t>NOTICE OF VARIATION:</w:t>
      </w:r>
    </w:p>
    <w:p w14:paraId="6B088813" w14:textId="19AF4411" w:rsidR="009C767E" w:rsidRPr="00CB64CA" w:rsidRDefault="009C767E" w:rsidP="0055006F">
      <w:pPr>
        <w:spacing w:after="0" w:line="240" w:lineRule="auto"/>
        <w:jc w:val="center"/>
        <w:rPr>
          <w:b/>
          <w:sz w:val="24"/>
          <w:szCs w:val="24"/>
          <w:u w:val="single"/>
        </w:rPr>
      </w:pPr>
      <w:r w:rsidRPr="00CB64CA">
        <w:rPr>
          <w:b/>
          <w:sz w:val="24"/>
          <w:szCs w:val="24"/>
          <w:u w:val="single"/>
        </w:rPr>
        <w:t>OFF-STREET PARKING CHARGES</w:t>
      </w:r>
    </w:p>
    <w:p w14:paraId="41592395" w14:textId="77777777" w:rsidR="009C767E" w:rsidRPr="005E6207" w:rsidRDefault="009C767E" w:rsidP="009C767E">
      <w:pPr>
        <w:spacing w:after="0" w:line="240" w:lineRule="auto"/>
        <w:jc w:val="center"/>
        <w:rPr>
          <w:b/>
          <w:sz w:val="22"/>
          <w:szCs w:val="24"/>
          <w:u w:val="single"/>
        </w:rPr>
      </w:pPr>
    </w:p>
    <w:p w14:paraId="13B6ED83" w14:textId="77777777" w:rsidR="009C767E" w:rsidRPr="005E6207" w:rsidRDefault="009C767E" w:rsidP="009C767E">
      <w:pPr>
        <w:spacing w:after="0" w:line="240" w:lineRule="auto"/>
        <w:rPr>
          <w:b/>
          <w:szCs w:val="24"/>
          <w:u w:val="single"/>
        </w:rPr>
      </w:pPr>
    </w:p>
    <w:p w14:paraId="6BC28105" w14:textId="77777777" w:rsidR="00060882" w:rsidRDefault="009C767E" w:rsidP="005E6207">
      <w:pPr>
        <w:spacing w:after="0" w:line="240" w:lineRule="auto"/>
        <w:jc w:val="both"/>
        <w:rPr>
          <w:sz w:val="22"/>
          <w:szCs w:val="24"/>
        </w:rPr>
      </w:pPr>
      <w:r w:rsidRPr="00CB64CA">
        <w:rPr>
          <w:b/>
          <w:sz w:val="22"/>
          <w:szCs w:val="24"/>
        </w:rPr>
        <w:t xml:space="preserve">NOTICE </w:t>
      </w:r>
      <w:r w:rsidRPr="00CB64CA">
        <w:rPr>
          <w:sz w:val="22"/>
          <w:szCs w:val="24"/>
        </w:rPr>
        <w:t>is hereby given that Rochford District Council in exercise of its powers under Section</w:t>
      </w:r>
      <w:r w:rsidR="00C01601" w:rsidRPr="00CB64CA">
        <w:rPr>
          <w:sz w:val="22"/>
          <w:szCs w:val="24"/>
        </w:rPr>
        <w:t xml:space="preserve">s 35 and 35C </w:t>
      </w:r>
      <w:r w:rsidRPr="00CB64CA">
        <w:rPr>
          <w:sz w:val="22"/>
          <w:szCs w:val="24"/>
        </w:rPr>
        <w:t xml:space="preserve">Road Traffic Regulation Act 1984 and Regulation 25 of the Local Authorities’ Traffic Order (Procedure) (England and Wales) Regulations 1996 proposes to vary the amount of charge at parking places detailed in </w:t>
      </w:r>
      <w:r w:rsidR="00AD35C2" w:rsidRPr="00CB64CA">
        <w:rPr>
          <w:sz w:val="22"/>
          <w:szCs w:val="24"/>
        </w:rPr>
        <w:t xml:space="preserve">Clause 4(2) of </w:t>
      </w:r>
      <w:r w:rsidRPr="00CB64CA">
        <w:rPr>
          <w:sz w:val="22"/>
          <w:szCs w:val="24"/>
        </w:rPr>
        <w:t>Part II (‘</w:t>
      </w:r>
      <w:r w:rsidR="00AD35C2" w:rsidRPr="00CB64CA">
        <w:rPr>
          <w:sz w:val="22"/>
          <w:szCs w:val="24"/>
        </w:rPr>
        <w:t>use of a parking p</w:t>
      </w:r>
      <w:r w:rsidRPr="00CB64CA">
        <w:rPr>
          <w:sz w:val="22"/>
          <w:szCs w:val="24"/>
        </w:rPr>
        <w:t>lace’)</w:t>
      </w:r>
      <w:r w:rsidR="00AD35C2" w:rsidRPr="00CB64CA">
        <w:rPr>
          <w:sz w:val="22"/>
          <w:szCs w:val="24"/>
        </w:rPr>
        <w:t xml:space="preserve"> of The District of Rochford (Off Street Parking Places) Order 2014</w:t>
      </w:r>
      <w:r w:rsidR="00201024">
        <w:rPr>
          <w:sz w:val="22"/>
          <w:szCs w:val="24"/>
        </w:rPr>
        <w:t xml:space="preserve"> (“the Order”)</w:t>
      </w:r>
      <w:r w:rsidR="00AD35C2" w:rsidRPr="00CB64CA">
        <w:rPr>
          <w:sz w:val="22"/>
          <w:szCs w:val="24"/>
        </w:rPr>
        <w:t>.</w:t>
      </w:r>
    </w:p>
    <w:p w14:paraId="1FDC9321" w14:textId="77777777" w:rsidR="00060882" w:rsidRPr="00CB64CA" w:rsidRDefault="00060882" w:rsidP="005E6207">
      <w:pPr>
        <w:spacing w:after="0" w:line="240" w:lineRule="auto"/>
        <w:jc w:val="both"/>
        <w:rPr>
          <w:sz w:val="22"/>
        </w:rPr>
      </w:pPr>
    </w:p>
    <w:p w14:paraId="3A28E056" w14:textId="4B921AE6" w:rsidR="0440A9A1" w:rsidRDefault="0440A9A1" w:rsidP="31C2C1FC">
      <w:pPr>
        <w:spacing w:after="0" w:line="240" w:lineRule="auto"/>
        <w:jc w:val="both"/>
        <w:rPr>
          <w:b/>
          <w:bCs/>
          <w:sz w:val="22"/>
        </w:rPr>
      </w:pPr>
      <w:r w:rsidRPr="72DD3F44">
        <w:rPr>
          <w:rFonts w:eastAsia="Arial" w:cs="Arial"/>
          <w:color w:val="000000" w:themeColor="text1"/>
          <w:sz w:val="22"/>
        </w:rPr>
        <w:t>T</w:t>
      </w:r>
      <w:r w:rsidR="733C8A6B" w:rsidRPr="72DD3F44">
        <w:rPr>
          <w:rFonts w:eastAsia="Arial" w:cs="Arial"/>
          <w:color w:val="000000" w:themeColor="text1"/>
          <w:sz w:val="22"/>
        </w:rPr>
        <w:t xml:space="preserve">he </w:t>
      </w:r>
      <w:r w:rsidR="6D482908" w:rsidRPr="72DD3F44">
        <w:rPr>
          <w:rFonts w:eastAsia="Arial" w:cs="Arial"/>
          <w:color w:val="000000" w:themeColor="text1"/>
          <w:sz w:val="22"/>
        </w:rPr>
        <w:t>30-minute</w:t>
      </w:r>
      <w:r w:rsidR="43B6ECBA" w:rsidRPr="72DD3F44">
        <w:rPr>
          <w:rFonts w:eastAsia="Arial" w:cs="Arial"/>
          <w:color w:val="000000" w:themeColor="text1"/>
          <w:sz w:val="22"/>
        </w:rPr>
        <w:t xml:space="preserve"> </w:t>
      </w:r>
      <w:r w:rsidR="733C8A6B" w:rsidRPr="72DD3F44">
        <w:rPr>
          <w:rFonts w:eastAsia="Arial" w:cs="Arial"/>
          <w:color w:val="000000" w:themeColor="text1"/>
          <w:sz w:val="22"/>
        </w:rPr>
        <w:t xml:space="preserve">charge for a vehicle left in the following parking places during the charging hours (as defined in Clause 2(2) of Part I of the Order) shall be </w:t>
      </w:r>
      <w:r w:rsidR="1E71C3CC" w:rsidRPr="72DD3F44">
        <w:rPr>
          <w:rFonts w:eastAsia="Arial" w:cs="Arial"/>
          <w:color w:val="000000" w:themeColor="text1"/>
          <w:sz w:val="22"/>
        </w:rPr>
        <w:t>F</w:t>
      </w:r>
      <w:r w:rsidR="490D4BC6" w:rsidRPr="72DD3F44">
        <w:rPr>
          <w:rFonts w:eastAsia="Arial" w:cs="Arial"/>
          <w:color w:val="000000" w:themeColor="text1"/>
          <w:sz w:val="22"/>
        </w:rPr>
        <w:t>REE</w:t>
      </w:r>
      <w:r w:rsidR="1E71C3CC" w:rsidRPr="72DD3F44">
        <w:rPr>
          <w:rFonts w:eastAsia="Arial" w:cs="Arial"/>
          <w:color w:val="000000" w:themeColor="text1"/>
          <w:sz w:val="22"/>
        </w:rPr>
        <w:t xml:space="preserve"> </w:t>
      </w:r>
      <w:r w:rsidR="733C8A6B" w:rsidRPr="72DD3F44">
        <w:rPr>
          <w:rFonts w:eastAsia="Arial" w:cs="Arial"/>
          <w:color w:val="000000" w:themeColor="text1"/>
          <w:sz w:val="22"/>
        </w:rPr>
        <w:t xml:space="preserve">as shown below </w:t>
      </w:r>
      <w:r w:rsidR="6678AFE3" w:rsidRPr="72DD3F44">
        <w:rPr>
          <w:rFonts w:eastAsia="Arial" w:cs="Arial"/>
          <w:color w:val="000000" w:themeColor="text1"/>
          <w:sz w:val="22"/>
        </w:rPr>
        <w:t xml:space="preserve">for a trial period </w:t>
      </w:r>
      <w:r w:rsidR="733C8A6B" w:rsidRPr="72DD3F44">
        <w:rPr>
          <w:rFonts w:eastAsia="Arial" w:cs="Arial"/>
          <w:color w:val="000000" w:themeColor="text1"/>
          <w:sz w:val="22"/>
        </w:rPr>
        <w:t xml:space="preserve">from </w:t>
      </w:r>
      <w:r w:rsidR="733C8A6B" w:rsidRPr="72DD3F44">
        <w:rPr>
          <w:rFonts w:eastAsia="Arial" w:cs="Arial"/>
          <w:b/>
          <w:bCs/>
          <w:color w:val="000000" w:themeColor="text1"/>
          <w:sz w:val="22"/>
          <w:u w:val="single"/>
        </w:rPr>
        <w:t>1</w:t>
      </w:r>
      <w:r w:rsidR="733C8A6B" w:rsidRPr="72DD3F44">
        <w:rPr>
          <w:rFonts w:eastAsia="Arial" w:cs="Arial"/>
          <w:b/>
          <w:bCs/>
          <w:color w:val="000000" w:themeColor="text1"/>
          <w:sz w:val="22"/>
          <w:u w:val="single"/>
          <w:vertAlign w:val="superscript"/>
        </w:rPr>
        <w:t>st</w:t>
      </w:r>
      <w:r w:rsidR="733C8A6B" w:rsidRPr="72DD3F44">
        <w:rPr>
          <w:rFonts w:eastAsia="Arial" w:cs="Arial"/>
          <w:b/>
          <w:bCs/>
          <w:color w:val="000000" w:themeColor="text1"/>
          <w:sz w:val="22"/>
          <w:u w:val="single"/>
        </w:rPr>
        <w:t xml:space="preserve"> </w:t>
      </w:r>
      <w:r w:rsidR="4435839A" w:rsidRPr="72DD3F44">
        <w:rPr>
          <w:rFonts w:eastAsia="Arial" w:cs="Arial"/>
          <w:b/>
          <w:bCs/>
          <w:color w:val="000000" w:themeColor="text1"/>
          <w:sz w:val="22"/>
          <w:u w:val="single"/>
        </w:rPr>
        <w:t xml:space="preserve">September </w:t>
      </w:r>
      <w:r w:rsidR="733C8A6B" w:rsidRPr="72DD3F44">
        <w:rPr>
          <w:rFonts w:eastAsia="Arial" w:cs="Arial"/>
          <w:b/>
          <w:bCs/>
          <w:color w:val="000000" w:themeColor="text1"/>
          <w:sz w:val="22"/>
          <w:u w:val="single"/>
        </w:rPr>
        <w:t>2025</w:t>
      </w:r>
      <w:r w:rsidR="0381E4A9" w:rsidRPr="72DD3F44">
        <w:rPr>
          <w:rFonts w:eastAsia="Arial" w:cs="Arial"/>
          <w:b/>
          <w:bCs/>
          <w:color w:val="000000" w:themeColor="text1"/>
          <w:sz w:val="22"/>
          <w:u w:val="single"/>
        </w:rPr>
        <w:t xml:space="preserve"> until 30</w:t>
      </w:r>
      <w:r w:rsidR="0381E4A9" w:rsidRPr="72DD3F44">
        <w:rPr>
          <w:rFonts w:eastAsia="Arial" w:cs="Arial"/>
          <w:b/>
          <w:bCs/>
          <w:color w:val="000000" w:themeColor="text1"/>
          <w:sz w:val="22"/>
          <w:u w:val="single"/>
          <w:vertAlign w:val="superscript"/>
        </w:rPr>
        <w:t>th</w:t>
      </w:r>
      <w:r w:rsidR="0381E4A9" w:rsidRPr="72DD3F44">
        <w:rPr>
          <w:rFonts w:eastAsia="Arial" w:cs="Arial"/>
          <w:b/>
          <w:bCs/>
          <w:color w:val="000000" w:themeColor="text1"/>
          <w:sz w:val="22"/>
          <w:u w:val="single"/>
        </w:rPr>
        <w:t xml:space="preserve"> November 2025</w:t>
      </w:r>
      <w:r w:rsidR="1CC7A5BE" w:rsidRPr="72DD3F44">
        <w:rPr>
          <w:rFonts w:eastAsia="Arial" w:cs="Arial"/>
          <w:b/>
          <w:bCs/>
          <w:color w:val="000000" w:themeColor="text1"/>
          <w:sz w:val="22"/>
        </w:rPr>
        <w:t>.</w:t>
      </w:r>
      <w:r w:rsidR="5D731760" w:rsidRPr="72DD3F44">
        <w:rPr>
          <w:rFonts w:eastAsia="Arial" w:cs="Arial"/>
          <w:b/>
          <w:bCs/>
          <w:color w:val="000000" w:themeColor="text1"/>
          <w:sz w:val="22"/>
        </w:rPr>
        <w:t xml:space="preserve">  </w:t>
      </w:r>
      <w:r w:rsidR="66FA87EB" w:rsidRPr="72DD3F44">
        <w:rPr>
          <w:sz w:val="22"/>
        </w:rPr>
        <w:t xml:space="preserve">One </w:t>
      </w:r>
      <w:r w:rsidR="5EAFDF34" w:rsidRPr="72DD3F44">
        <w:rPr>
          <w:sz w:val="22"/>
        </w:rPr>
        <w:t xml:space="preserve">free 30-minute </w:t>
      </w:r>
      <w:r w:rsidR="66FA87EB" w:rsidRPr="72DD3F44">
        <w:rPr>
          <w:sz w:val="22"/>
        </w:rPr>
        <w:t xml:space="preserve">parking </w:t>
      </w:r>
      <w:r w:rsidR="1113A090" w:rsidRPr="72DD3F44">
        <w:rPr>
          <w:sz w:val="22"/>
        </w:rPr>
        <w:t>t</w:t>
      </w:r>
      <w:r w:rsidR="66FA87EB" w:rsidRPr="72DD3F44">
        <w:rPr>
          <w:sz w:val="22"/>
        </w:rPr>
        <w:t xml:space="preserve">icket is </w:t>
      </w:r>
      <w:r w:rsidR="6000DA89" w:rsidRPr="72DD3F44">
        <w:rPr>
          <w:sz w:val="22"/>
        </w:rPr>
        <w:t>permitt</w:t>
      </w:r>
      <w:r w:rsidR="66FA87EB" w:rsidRPr="72DD3F44">
        <w:rPr>
          <w:sz w:val="22"/>
        </w:rPr>
        <w:t>ed per vehicle per day</w:t>
      </w:r>
      <w:r w:rsidR="3A7CAB1F" w:rsidRPr="72DD3F44">
        <w:rPr>
          <w:sz w:val="22"/>
        </w:rPr>
        <w:t xml:space="preserve">, providing a </w:t>
      </w:r>
      <w:r w:rsidR="74F60602" w:rsidRPr="72DD3F44">
        <w:rPr>
          <w:sz w:val="22"/>
        </w:rPr>
        <w:t xml:space="preserve">valid </w:t>
      </w:r>
      <w:r w:rsidR="3A7CAB1F" w:rsidRPr="72DD3F44">
        <w:rPr>
          <w:sz w:val="22"/>
        </w:rPr>
        <w:t xml:space="preserve">ticket is obtained from a Pay &amp; Display </w:t>
      </w:r>
      <w:r w:rsidR="3A39AE65" w:rsidRPr="72DD3F44">
        <w:rPr>
          <w:sz w:val="22"/>
        </w:rPr>
        <w:t xml:space="preserve">Ticket </w:t>
      </w:r>
      <w:r w:rsidR="3A7CAB1F" w:rsidRPr="72DD3F44">
        <w:rPr>
          <w:sz w:val="22"/>
        </w:rPr>
        <w:t>Machine and is clearly</w:t>
      </w:r>
      <w:r w:rsidR="2EE0CAFF" w:rsidRPr="72DD3F44">
        <w:rPr>
          <w:sz w:val="22"/>
        </w:rPr>
        <w:t xml:space="preserve"> </w:t>
      </w:r>
      <w:r w:rsidR="3A7CAB1F" w:rsidRPr="72DD3F44">
        <w:rPr>
          <w:sz w:val="22"/>
        </w:rPr>
        <w:t>displayed</w:t>
      </w:r>
      <w:r w:rsidR="7B14752C" w:rsidRPr="72DD3F44">
        <w:rPr>
          <w:sz w:val="22"/>
        </w:rPr>
        <w:t xml:space="preserve"> </w:t>
      </w:r>
      <w:r w:rsidR="2E020823" w:rsidRPr="72DD3F44">
        <w:rPr>
          <w:sz w:val="22"/>
        </w:rPr>
        <w:t>in the windscreen</w:t>
      </w:r>
      <w:r w:rsidR="66FA87EB" w:rsidRPr="72DD3F44">
        <w:rPr>
          <w:b/>
          <w:bCs/>
          <w:sz w:val="22"/>
        </w:rPr>
        <w:t>:</w:t>
      </w:r>
    </w:p>
    <w:p w14:paraId="6FF7EC8D" w14:textId="5CF8E275" w:rsidR="31C2C1FC" w:rsidRDefault="31C2C1FC" w:rsidP="31C2C1FC">
      <w:pPr>
        <w:spacing w:after="0" w:line="240" w:lineRule="auto"/>
        <w:jc w:val="both"/>
        <w:rPr>
          <w:b/>
          <w:bCs/>
          <w:sz w:val="22"/>
        </w:rPr>
      </w:pPr>
    </w:p>
    <w:p w14:paraId="1D67CD1B" w14:textId="77777777" w:rsidR="004C729E" w:rsidRPr="005E6207" w:rsidRDefault="004C729E" w:rsidP="009C767E">
      <w:pPr>
        <w:spacing w:after="0" w:line="240" w:lineRule="auto"/>
        <w:rPr>
          <w:szCs w:val="24"/>
        </w:rPr>
      </w:pPr>
    </w:p>
    <w:tbl>
      <w:tblPr>
        <w:tblStyle w:val="TableGrid"/>
        <w:tblW w:w="9016" w:type="dxa"/>
        <w:tblLook w:val="04A0" w:firstRow="1" w:lastRow="0" w:firstColumn="1" w:lastColumn="0" w:noHBand="0" w:noVBand="1"/>
      </w:tblPr>
      <w:tblGrid>
        <w:gridCol w:w="4005"/>
        <w:gridCol w:w="2010"/>
        <w:gridCol w:w="1485"/>
        <w:gridCol w:w="1516"/>
      </w:tblGrid>
      <w:tr w:rsidR="00A65B62" w14:paraId="19F87212" w14:textId="77777777" w:rsidTr="31C2C1FC">
        <w:tc>
          <w:tcPr>
            <w:tcW w:w="4005" w:type="dxa"/>
            <w:tcBorders>
              <w:bottom w:val="single" w:sz="4" w:space="0" w:color="auto"/>
            </w:tcBorders>
            <w:vAlign w:val="center"/>
          </w:tcPr>
          <w:p w14:paraId="323443F9" w14:textId="77777777" w:rsidR="002304EA" w:rsidRDefault="002304EA" w:rsidP="002304EA">
            <w:pPr>
              <w:jc w:val="center"/>
              <w:rPr>
                <w:b/>
                <w:sz w:val="22"/>
                <w:szCs w:val="24"/>
              </w:rPr>
            </w:pPr>
          </w:p>
          <w:p w14:paraId="1A208605" w14:textId="77777777" w:rsidR="00A65B62" w:rsidRDefault="00A65B62" w:rsidP="002304EA">
            <w:pPr>
              <w:jc w:val="center"/>
              <w:rPr>
                <w:b/>
                <w:sz w:val="22"/>
                <w:szCs w:val="24"/>
              </w:rPr>
            </w:pPr>
            <w:r w:rsidRPr="00CB64CA">
              <w:rPr>
                <w:b/>
                <w:sz w:val="22"/>
                <w:szCs w:val="24"/>
              </w:rPr>
              <w:t>Car Park</w:t>
            </w:r>
          </w:p>
          <w:p w14:paraId="6CC22A22" w14:textId="77777777" w:rsidR="002304EA" w:rsidRPr="00CB64CA" w:rsidRDefault="002304EA" w:rsidP="002304EA">
            <w:pPr>
              <w:jc w:val="center"/>
              <w:rPr>
                <w:b/>
                <w:sz w:val="22"/>
                <w:szCs w:val="24"/>
              </w:rPr>
            </w:pPr>
          </w:p>
        </w:tc>
        <w:tc>
          <w:tcPr>
            <w:tcW w:w="3495" w:type="dxa"/>
            <w:gridSpan w:val="2"/>
            <w:tcBorders>
              <w:bottom w:val="single" w:sz="4" w:space="0" w:color="auto"/>
            </w:tcBorders>
            <w:vAlign w:val="center"/>
          </w:tcPr>
          <w:p w14:paraId="6FD73CA8" w14:textId="77777777" w:rsidR="00A65B62" w:rsidRPr="00CB64CA" w:rsidRDefault="00A65B62" w:rsidP="002304EA">
            <w:pPr>
              <w:jc w:val="center"/>
              <w:rPr>
                <w:b/>
                <w:sz w:val="22"/>
                <w:szCs w:val="24"/>
                <w:u w:val="single"/>
              </w:rPr>
            </w:pPr>
            <w:r w:rsidRPr="00CB64CA">
              <w:rPr>
                <w:b/>
                <w:sz w:val="22"/>
                <w:szCs w:val="24"/>
              </w:rPr>
              <w:t>Current Charges</w:t>
            </w:r>
            <w:r w:rsidR="00CB64CA" w:rsidRPr="00CB64CA">
              <w:rPr>
                <w:b/>
                <w:sz w:val="22"/>
                <w:szCs w:val="24"/>
              </w:rPr>
              <w:t xml:space="preserve"> (£)</w:t>
            </w:r>
          </w:p>
        </w:tc>
        <w:tc>
          <w:tcPr>
            <w:tcW w:w="1516" w:type="dxa"/>
            <w:tcBorders>
              <w:bottom w:val="single" w:sz="4" w:space="0" w:color="auto"/>
            </w:tcBorders>
            <w:vAlign w:val="center"/>
          </w:tcPr>
          <w:p w14:paraId="2F3EDEDC" w14:textId="60BA3FA0" w:rsidR="00A65B62" w:rsidRPr="00CB64CA" w:rsidRDefault="00A65B62" w:rsidP="002304EA">
            <w:pPr>
              <w:jc w:val="center"/>
              <w:rPr>
                <w:b/>
                <w:sz w:val="22"/>
                <w:szCs w:val="24"/>
              </w:rPr>
            </w:pPr>
            <w:r w:rsidRPr="00CB64CA">
              <w:rPr>
                <w:b/>
                <w:sz w:val="22"/>
                <w:szCs w:val="24"/>
              </w:rPr>
              <w:t>Varied Charges</w:t>
            </w:r>
            <w:r w:rsidR="003F1F2A">
              <w:rPr>
                <w:b/>
                <w:sz w:val="22"/>
                <w:szCs w:val="24"/>
              </w:rPr>
              <w:t xml:space="preserve"> (£)</w:t>
            </w:r>
          </w:p>
        </w:tc>
      </w:tr>
      <w:tr w:rsidR="00CB64CA" w14:paraId="39CA9589" w14:textId="77777777" w:rsidTr="31C2C1FC">
        <w:trPr>
          <w:trHeight w:val="600"/>
        </w:trPr>
        <w:tc>
          <w:tcPr>
            <w:tcW w:w="9016" w:type="dxa"/>
            <w:gridSpan w:val="4"/>
            <w:vAlign w:val="center"/>
          </w:tcPr>
          <w:p w14:paraId="6B3CCF57" w14:textId="77777777" w:rsidR="00CB64CA" w:rsidRPr="00CB64CA" w:rsidRDefault="00CB64CA" w:rsidP="00CB64CA">
            <w:pPr>
              <w:rPr>
                <w:sz w:val="22"/>
                <w:szCs w:val="24"/>
                <w:u w:val="single"/>
              </w:rPr>
            </w:pPr>
            <w:r w:rsidRPr="00CB64CA">
              <w:rPr>
                <w:sz w:val="22"/>
                <w:szCs w:val="24"/>
                <w:u w:val="single"/>
              </w:rPr>
              <w:t>Short Stay</w:t>
            </w:r>
          </w:p>
        </w:tc>
      </w:tr>
      <w:tr w:rsidR="00763058" w14:paraId="058BCDAB" w14:textId="77777777" w:rsidTr="31C2C1FC">
        <w:tc>
          <w:tcPr>
            <w:tcW w:w="4005" w:type="dxa"/>
            <w:tcBorders>
              <w:bottom w:val="single" w:sz="4" w:space="0" w:color="auto"/>
            </w:tcBorders>
          </w:tcPr>
          <w:p w14:paraId="73CFE86C" w14:textId="77777777" w:rsidR="00763058" w:rsidRPr="00CB64CA" w:rsidRDefault="00763058" w:rsidP="00763058">
            <w:pPr>
              <w:rPr>
                <w:sz w:val="22"/>
                <w:szCs w:val="24"/>
              </w:rPr>
            </w:pPr>
          </w:p>
          <w:p w14:paraId="633B4C8C" w14:textId="77777777" w:rsidR="003F1F2A" w:rsidRDefault="003F1F2A" w:rsidP="003F1F2A">
            <w:pPr>
              <w:rPr>
                <w:sz w:val="22"/>
                <w:szCs w:val="24"/>
              </w:rPr>
            </w:pPr>
            <w:r w:rsidRPr="00CB64CA">
              <w:rPr>
                <w:sz w:val="22"/>
                <w:szCs w:val="24"/>
              </w:rPr>
              <w:t xml:space="preserve">Old Ship Lane, </w:t>
            </w:r>
            <w:r>
              <w:rPr>
                <w:sz w:val="22"/>
                <w:szCs w:val="24"/>
              </w:rPr>
              <w:t>Rochford</w:t>
            </w:r>
          </w:p>
          <w:p w14:paraId="4A45E2C1" w14:textId="77777777" w:rsidR="00763058" w:rsidRPr="00CB64CA" w:rsidRDefault="00763058" w:rsidP="00763058">
            <w:pPr>
              <w:rPr>
                <w:sz w:val="22"/>
                <w:szCs w:val="24"/>
              </w:rPr>
            </w:pPr>
            <w:r w:rsidRPr="00CB64CA">
              <w:rPr>
                <w:sz w:val="22"/>
                <w:szCs w:val="24"/>
              </w:rPr>
              <w:t>Websters Way, Rayleigh</w:t>
            </w:r>
          </w:p>
          <w:p w14:paraId="6804A863" w14:textId="77777777" w:rsidR="00763058" w:rsidRDefault="00763058" w:rsidP="00763058">
            <w:pPr>
              <w:rPr>
                <w:sz w:val="22"/>
                <w:szCs w:val="24"/>
              </w:rPr>
            </w:pPr>
            <w:r w:rsidRPr="00CB64CA">
              <w:rPr>
                <w:sz w:val="22"/>
                <w:szCs w:val="24"/>
              </w:rPr>
              <w:t>Mill Hall, Rayleigh</w:t>
            </w:r>
          </w:p>
          <w:p w14:paraId="7618D430" w14:textId="77777777" w:rsidR="00763058" w:rsidRPr="00CB64CA" w:rsidRDefault="00763058" w:rsidP="003F1F2A">
            <w:pPr>
              <w:rPr>
                <w:sz w:val="22"/>
                <w:szCs w:val="24"/>
              </w:rPr>
            </w:pPr>
          </w:p>
        </w:tc>
        <w:tc>
          <w:tcPr>
            <w:tcW w:w="2010" w:type="dxa"/>
            <w:tcBorders>
              <w:bottom w:val="single" w:sz="4" w:space="0" w:color="auto"/>
            </w:tcBorders>
          </w:tcPr>
          <w:p w14:paraId="3191199E" w14:textId="77777777" w:rsidR="00763058" w:rsidRPr="002A5176" w:rsidRDefault="00763058" w:rsidP="00763058">
            <w:pPr>
              <w:rPr>
                <w:sz w:val="22"/>
                <w:szCs w:val="24"/>
              </w:rPr>
            </w:pPr>
          </w:p>
          <w:p w14:paraId="269096B2" w14:textId="0D60D1E7" w:rsidR="00763058" w:rsidRPr="002A5176" w:rsidRDefault="681F6150" w:rsidP="00763058">
            <w:pPr>
              <w:rPr>
                <w:sz w:val="22"/>
              </w:rPr>
            </w:pPr>
            <w:r w:rsidRPr="31C2C1FC">
              <w:rPr>
                <w:sz w:val="22"/>
              </w:rPr>
              <w:t xml:space="preserve">Up to </w:t>
            </w:r>
            <w:r w:rsidR="4CCD423B" w:rsidRPr="31C2C1FC">
              <w:rPr>
                <w:sz w:val="22"/>
              </w:rPr>
              <w:t>30 minutes</w:t>
            </w:r>
          </w:p>
          <w:p w14:paraId="13F1EB68" w14:textId="77777777" w:rsidR="00763058" w:rsidRPr="002A5176" w:rsidRDefault="00763058" w:rsidP="00763058">
            <w:pPr>
              <w:rPr>
                <w:sz w:val="22"/>
                <w:szCs w:val="24"/>
              </w:rPr>
            </w:pPr>
            <w:r w:rsidRPr="002A5176">
              <w:rPr>
                <w:sz w:val="22"/>
                <w:szCs w:val="24"/>
              </w:rPr>
              <w:t>Up to 1 Hour</w:t>
            </w:r>
          </w:p>
          <w:p w14:paraId="42E0A5DC" w14:textId="77777777" w:rsidR="00763058" w:rsidRPr="002A5176" w:rsidRDefault="00763058" w:rsidP="00763058">
            <w:pPr>
              <w:rPr>
                <w:sz w:val="22"/>
                <w:szCs w:val="24"/>
              </w:rPr>
            </w:pPr>
            <w:r w:rsidRPr="002A5176">
              <w:rPr>
                <w:sz w:val="22"/>
                <w:szCs w:val="24"/>
              </w:rPr>
              <w:t>Up to 2 Hours</w:t>
            </w:r>
          </w:p>
          <w:p w14:paraId="3F47C1CA" w14:textId="77777777" w:rsidR="00763058" w:rsidRPr="002A5176" w:rsidRDefault="00763058" w:rsidP="00763058">
            <w:pPr>
              <w:rPr>
                <w:sz w:val="22"/>
                <w:szCs w:val="24"/>
              </w:rPr>
            </w:pPr>
            <w:r w:rsidRPr="002A5176">
              <w:rPr>
                <w:sz w:val="22"/>
                <w:szCs w:val="24"/>
              </w:rPr>
              <w:t>Up to 3 Hours</w:t>
            </w:r>
          </w:p>
          <w:p w14:paraId="3EE22631" w14:textId="77777777" w:rsidR="00763058" w:rsidRPr="002A5176" w:rsidRDefault="00763058" w:rsidP="00763058">
            <w:pPr>
              <w:rPr>
                <w:sz w:val="22"/>
                <w:szCs w:val="24"/>
              </w:rPr>
            </w:pPr>
            <w:r w:rsidRPr="002A5176">
              <w:rPr>
                <w:sz w:val="22"/>
                <w:szCs w:val="24"/>
              </w:rPr>
              <w:t>Up to 4 Hours</w:t>
            </w:r>
          </w:p>
        </w:tc>
        <w:tc>
          <w:tcPr>
            <w:tcW w:w="1485" w:type="dxa"/>
            <w:tcBorders>
              <w:bottom w:val="single" w:sz="4" w:space="0" w:color="auto"/>
            </w:tcBorders>
          </w:tcPr>
          <w:p w14:paraId="227CEA3D" w14:textId="77777777" w:rsidR="00763058" w:rsidRPr="00CB64CA" w:rsidRDefault="00763058" w:rsidP="00763058">
            <w:pPr>
              <w:rPr>
                <w:sz w:val="22"/>
                <w:szCs w:val="24"/>
              </w:rPr>
            </w:pPr>
          </w:p>
          <w:p w14:paraId="2D32DCEF" w14:textId="6F89FDAC" w:rsidR="00763058" w:rsidRPr="00CB64CA" w:rsidRDefault="681F6150" w:rsidP="00763058">
            <w:pPr>
              <w:rPr>
                <w:sz w:val="22"/>
              </w:rPr>
            </w:pPr>
            <w:r w:rsidRPr="31C2C1FC">
              <w:rPr>
                <w:sz w:val="22"/>
              </w:rPr>
              <w:t>0.</w:t>
            </w:r>
            <w:r w:rsidR="789AC633" w:rsidRPr="31C2C1FC">
              <w:rPr>
                <w:sz w:val="22"/>
              </w:rPr>
              <w:t>8</w:t>
            </w:r>
            <w:r w:rsidR="0A36FDEF" w:rsidRPr="31C2C1FC">
              <w:rPr>
                <w:sz w:val="22"/>
              </w:rPr>
              <w:t>5</w:t>
            </w:r>
          </w:p>
          <w:p w14:paraId="13528E33" w14:textId="274EE5BB" w:rsidR="00763058" w:rsidRPr="00CB64CA" w:rsidRDefault="681F6150" w:rsidP="00763058">
            <w:pPr>
              <w:ind w:right="-161"/>
              <w:rPr>
                <w:sz w:val="22"/>
              </w:rPr>
            </w:pPr>
            <w:r w:rsidRPr="31C2C1FC">
              <w:rPr>
                <w:sz w:val="22"/>
              </w:rPr>
              <w:t>1.</w:t>
            </w:r>
            <w:r w:rsidR="4E3E0962" w:rsidRPr="31C2C1FC">
              <w:rPr>
                <w:sz w:val="22"/>
              </w:rPr>
              <w:t>4</w:t>
            </w:r>
            <w:r w:rsidRPr="31C2C1FC">
              <w:rPr>
                <w:sz w:val="22"/>
              </w:rPr>
              <w:t>0</w:t>
            </w:r>
          </w:p>
          <w:p w14:paraId="6125F80B" w14:textId="2A84D5FC" w:rsidR="00763058" w:rsidRPr="00CB64CA" w:rsidRDefault="681F6150" w:rsidP="00763058">
            <w:pPr>
              <w:rPr>
                <w:sz w:val="22"/>
              </w:rPr>
            </w:pPr>
            <w:r w:rsidRPr="31C2C1FC">
              <w:rPr>
                <w:sz w:val="22"/>
              </w:rPr>
              <w:t>2.</w:t>
            </w:r>
            <w:r w:rsidR="1253CCD8" w:rsidRPr="31C2C1FC">
              <w:rPr>
                <w:sz w:val="22"/>
              </w:rPr>
              <w:t>35</w:t>
            </w:r>
          </w:p>
          <w:p w14:paraId="08A99CB6" w14:textId="549F3702" w:rsidR="00763058" w:rsidRPr="00CB64CA" w:rsidRDefault="789AC633" w:rsidP="00763058">
            <w:pPr>
              <w:rPr>
                <w:sz w:val="22"/>
              </w:rPr>
            </w:pPr>
            <w:r w:rsidRPr="31C2C1FC">
              <w:rPr>
                <w:sz w:val="22"/>
              </w:rPr>
              <w:t>3</w:t>
            </w:r>
            <w:r w:rsidR="681F6150" w:rsidRPr="31C2C1FC">
              <w:rPr>
                <w:sz w:val="22"/>
              </w:rPr>
              <w:t>.</w:t>
            </w:r>
            <w:r w:rsidR="65A534FB" w:rsidRPr="31C2C1FC">
              <w:rPr>
                <w:sz w:val="22"/>
              </w:rPr>
              <w:t>3</w:t>
            </w:r>
            <w:r w:rsidR="681F6150" w:rsidRPr="31C2C1FC">
              <w:rPr>
                <w:sz w:val="22"/>
              </w:rPr>
              <w:t>0</w:t>
            </w:r>
          </w:p>
          <w:p w14:paraId="6DED9601" w14:textId="178293BA" w:rsidR="00763058" w:rsidRPr="00CB64CA" w:rsidRDefault="789AC633" w:rsidP="00763058">
            <w:pPr>
              <w:rPr>
                <w:sz w:val="22"/>
              </w:rPr>
            </w:pPr>
            <w:r w:rsidRPr="31C2C1FC">
              <w:rPr>
                <w:sz w:val="22"/>
              </w:rPr>
              <w:t>4</w:t>
            </w:r>
            <w:r w:rsidR="681F6150" w:rsidRPr="31C2C1FC">
              <w:rPr>
                <w:sz w:val="22"/>
              </w:rPr>
              <w:t>.</w:t>
            </w:r>
            <w:r w:rsidR="0B2EA436" w:rsidRPr="31C2C1FC">
              <w:rPr>
                <w:sz w:val="22"/>
              </w:rPr>
              <w:t>2</w:t>
            </w:r>
            <w:r w:rsidR="681F6150" w:rsidRPr="31C2C1FC">
              <w:rPr>
                <w:sz w:val="22"/>
              </w:rPr>
              <w:t>0</w:t>
            </w:r>
          </w:p>
          <w:p w14:paraId="7CA18C66" w14:textId="083CE07E" w:rsidR="00763058" w:rsidRPr="002A5176" w:rsidRDefault="00763058" w:rsidP="00763058">
            <w:pPr>
              <w:rPr>
                <w:sz w:val="22"/>
                <w:szCs w:val="24"/>
              </w:rPr>
            </w:pPr>
          </w:p>
        </w:tc>
        <w:tc>
          <w:tcPr>
            <w:tcW w:w="1516" w:type="dxa"/>
            <w:tcBorders>
              <w:bottom w:val="single" w:sz="4" w:space="0" w:color="auto"/>
            </w:tcBorders>
          </w:tcPr>
          <w:p w14:paraId="5C941DC3" w14:textId="77777777" w:rsidR="00763058" w:rsidRPr="00CB64CA" w:rsidRDefault="00763058" w:rsidP="00763058">
            <w:pPr>
              <w:rPr>
                <w:sz w:val="22"/>
                <w:szCs w:val="24"/>
              </w:rPr>
            </w:pPr>
          </w:p>
          <w:p w14:paraId="3946B3A8" w14:textId="4E589157" w:rsidR="00763058" w:rsidRPr="00CB64CA" w:rsidRDefault="008B6D2A" w:rsidP="00763058">
            <w:pPr>
              <w:rPr>
                <w:sz w:val="22"/>
                <w:szCs w:val="24"/>
              </w:rPr>
            </w:pPr>
            <w:r>
              <w:rPr>
                <w:sz w:val="22"/>
                <w:szCs w:val="24"/>
              </w:rPr>
              <w:t>FREE</w:t>
            </w:r>
          </w:p>
          <w:p w14:paraId="68670A7F" w14:textId="09CE5459" w:rsidR="00763058" w:rsidRPr="00CB64CA" w:rsidRDefault="681F6150" w:rsidP="00763058">
            <w:pPr>
              <w:ind w:right="-161"/>
              <w:rPr>
                <w:sz w:val="22"/>
              </w:rPr>
            </w:pPr>
            <w:r w:rsidRPr="31C2C1FC">
              <w:rPr>
                <w:sz w:val="22"/>
              </w:rPr>
              <w:t>1.</w:t>
            </w:r>
            <w:r w:rsidR="1555F857" w:rsidRPr="31C2C1FC">
              <w:rPr>
                <w:sz w:val="22"/>
              </w:rPr>
              <w:t>4</w:t>
            </w:r>
            <w:r w:rsidRPr="31C2C1FC">
              <w:rPr>
                <w:sz w:val="22"/>
              </w:rPr>
              <w:t xml:space="preserve">0 </w:t>
            </w:r>
          </w:p>
          <w:p w14:paraId="540A9B81" w14:textId="58E09FEE" w:rsidR="00763058" w:rsidRPr="00CB64CA" w:rsidRDefault="681F6150" w:rsidP="00763058">
            <w:pPr>
              <w:rPr>
                <w:sz w:val="22"/>
              </w:rPr>
            </w:pPr>
            <w:r w:rsidRPr="31C2C1FC">
              <w:rPr>
                <w:sz w:val="22"/>
              </w:rPr>
              <w:t>2.</w:t>
            </w:r>
            <w:r w:rsidR="7AA1604D" w:rsidRPr="31C2C1FC">
              <w:rPr>
                <w:sz w:val="22"/>
              </w:rPr>
              <w:t>35</w:t>
            </w:r>
          </w:p>
          <w:p w14:paraId="35FC76E3" w14:textId="7E3D155E" w:rsidR="00763058" w:rsidRPr="00CB64CA" w:rsidRDefault="681F6150" w:rsidP="00763058">
            <w:pPr>
              <w:rPr>
                <w:sz w:val="22"/>
              </w:rPr>
            </w:pPr>
            <w:r w:rsidRPr="31C2C1FC">
              <w:rPr>
                <w:sz w:val="22"/>
              </w:rPr>
              <w:t>3.</w:t>
            </w:r>
            <w:r w:rsidR="6EF1C974" w:rsidRPr="31C2C1FC">
              <w:rPr>
                <w:sz w:val="22"/>
              </w:rPr>
              <w:t>3</w:t>
            </w:r>
            <w:r w:rsidRPr="31C2C1FC">
              <w:rPr>
                <w:sz w:val="22"/>
              </w:rPr>
              <w:t>0</w:t>
            </w:r>
          </w:p>
          <w:p w14:paraId="31699FD5" w14:textId="6657C409" w:rsidR="00763058" w:rsidRPr="00CB64CA" w:rsidRDefault="681F6150" w:rsidP="00763058">
            <w:pPr>
              <w:rPr>
                <w:sz w:val="22"/>
              </w:rPr>
            </w:pPr>
            <w:r w:rsidRPr="31C2C1FC">
              <w:rPr>
                <w:sz w:val="22"/>
              </w:rPr>
              <w:t>4.</w:t>
            </w:r>
            <w:r w:rsidR="541F4480" w:rsidRPr="31C2C1FC">
              <w:rPr>
                <w:sz w:val="22"/>
              </w:rPr>
              <w:t>2</w:t>
            </w:r>
            <w:r w:rsidRPr="31C2C1FC">
              <w:rPr>
                <w:sz w:val="22"/>
              </w:rPr>
              <w:t>0</w:t>
            </w:r>
          </w:p>
          <w:p w14:paraId="3C257F27" w14:textId="77777777" w:rsidR="00763058" w:rsidRPr="00CB64CA" w:rsidRDefault="00763058" w:rsidP="00763058">
            <w:pPr>
              <w:rPr>
                <w:sz w:val="22"/>
                <w:szCs w:val="24"/>
              </w:rPr>
            </w:pPr>
          </w:p>
        </w:tc>
      </w:tr>
      <w:tr w:rsidR="00763058" w14:paraId="42740306" w14:textId="77777777" w:rsidTr="31C2C1FC">
        <w:trPr>
          <w:trHeight w:val="600"/>
        </w:trPr>
        <w:tc>
          <w:tcPr>
            <w:tcW w:w="9016" w:type="dxa"/>
            <w:gridSpan w:val="4"/>
            <w:tcBorders>
              <w:top w:val="nil"/>
            </w:tcBorders>
            <w:vAlign w:val="center"/>
          </w:tcPr>
          <w:p w14:paraId="5F5DCC12" w14:textId="77777777" w:rsidR="00763058" w:rsidRPr="00CB64CA" w:rsidRDefault="00763058" w:rsidP="00763058">
            <w:pPr>
              <w:rPr>
                <w:sz w:val="22"/>
                <w:szCs w:val="24"/>
                <w:u w:val="single"/>
              </w:rPr>
            </w:pPr>
            <w:r w:rsidRPr="00CB64CA">
              <w:rPr>
                <w:sz w:val="22"/>
                <w:szCs w:val="24"/>
                <w:u w:val="single"/>
              </w:rPr>
              <w:t>Long Stay</w:t>
            </w:r>
          </w:p>
        </w:tc>
      </w:tr>
      <w:tr w:rsidR="00763058" w14:paraId="2D7DE4C3" w14:textId="77777777" w:rsidTr="31C2C1FC">
        <w:tc>
          <w:tcPr>
            <w:tcW w:w="4005" w:type="dxa"/>
          </w:tcPr>
          <w:p w14:paraId="515AA1F4" w14:textId="77777777" w:rsidR="00763058" w:rsidRPr="00CB64CA" w:rsidRDefault="00763058" w:rsidP="00763058">
            <w:pPr>
              <w:rPr>
                <w:sz w:val="22"/>
                <w:szCs w:val="24"/>
              </w:rPr>
            </w:pPr>
          </w:p>
          <w:p w14:paraId="1D03E5FC" w14:textId="77777777" w:rsidR="00763058" w:rsidRPr="00CB64CA" w:rsidRDefault="00763058" w:rsidP="00763058">
            <w:pPr>
              <w:rPr>
                <w:sz w:val="22"/>
                <w:szCs w:val="24"/>
              </w:rPr>
            </w:pPr>
            <w:r w:rsidRPr="00CB64CA">
              <w:rPr>
                <w:sz w:val="22"/>
                <w:szCs w:val="24"/>
              </w:rPr>
              <w:t>The Market,</w:t>
            </w:r>
            <w:r>
              <w:rPr>
                <w:sz w:val="22"/>
                <w:szCs w:val="24"/>
              </w:rPr>
              <w:t xml:space="preserve"> Hockley Road,</w:t>
            </w:r>
            <w:r w:rsidRPr="00CB64CA">
              <w:rPr>
                <w:sz w:val="22"/>
                <w:szCs w:val="24"/>
              </w:rPr>
              <w:t xml:space="preserve"> Rayleigh</w:t>
            </w:r>
          </w:p>
          <w:p w14:paraId="399AADF1" w14:textId="77777777" w:rsidR="00763058" w:rsidRPr="00CB64CA" w:rsidRDefault="00763058" w:rsidP="00763058">
            <w:pPr>
              <w:rPr>
                <w:sz w:val="22"/>
                <w:szCs w:val="24"/>
              </w:rPr>
            </w:pPr>
            <w:r w:rsidRPr="00CB64CA">
              <w:rPr>
                <w:sz w:val="22"/>
                <w:szCs w:val="24"/>
              </w:rPr>
              <w:t>Castle Road, Rayleigh</w:t>
            </w:r>
          </w:p>
          <w:p w14:paraId="7E0FD5A2" w14:textId="77777777" w:rsidR="00763058" w:rsidRPr="00CB64CA" w:rsidRDefault="00763058" w:rsidP="00763058">
            <w:pPr>
              <w:rPr>
                <w:sz w:val="22"/>
                <w:szCs w:val="24"/>
              </w:rPr>
            </w:pPr>
            <w:r w:rsidRPr="00CB64CA">
              <w:rPr>
                <w:sz w:val="22"/>
                <w:szCs w:val="24"/>
              </w:rPr>
              <w:t>Bellingham Lane, Rayleigh</w:t>
            </w:r>
          </w:p>
          <w:p w14:paraId="408394F3" w14:textId="77777777" w:rsidR="00763058" w:rsidRPr="00CB64CA" w:rsidRDefault="00763058" w:rsidP="00763058">
            <w:pPr>
              <w:rPr>
                <w:sz w:val="22"/>
                <w:szCs w:val="24"/>
              </w:rPr>
            </w:pPr>
            <w:r w:rsidRPr="00CB64CA">
              <w:rPr>
                <w:sz w:val="22"/>
                <w:szCs w:val="24"/>
              </w:rPr>
              <w:t>Back Lane, Rochford</w:t>
            </w:r>
          </w:p>
          <w:p w14:paraId="12F5F3BD" w14:textId="77777777" w:rsidR="00763058" w:rsidRPr="00CB64CA" w:rsidRDefault="681F6150" w:rsidP="00763058">
            <w:pPr>
              <w:rPr>
                <w:sz w:val="22"/>
                <w:szCs w:val="24"/>
              </w:rPr>
            </w:pPr>
            <w:r w:rsidRPr="31C2C1FC">
              <w:rPr>
                <w:sz w:val="22"/>
              </w:rPr>
              <w:t>Southend Road, Hockley</w:t>
            </w:r>
          </w:p>
          <w:p w14:paraId="67E2164C" w14:textId="29605110" w:rsidR="09DEBFB5" w:rsidRDefault="09DEBFB5" w:rsidP="31C2C1FC">
            <w:pPr>
              <w:rPr>
                <w:sz w:val="22"/>
              </w:rPr>
            </w:pPr>
            <w:r w:rsidRPr="31C2C1FC">
              <w:rPr>
                <w:sz w:val="22"/>
              </w:rPr>
              <w:t>Civic Suite, Rayleigh (Saturday</w:t>
            </w:r>
            <w:r w:rsidR="615C4BB1" w:rsidRPr="31C2C1FC">
              <w:rPr>
                <w:sz w:val="22"/>
              </w:rPr>
              <w:t xml:space="preserve">s </w:t>
            </w:r>
            <w:r w:rsidRPr="31C2C1FC">
              <w:rPr>
                <w:sz w:val="22"/>
              </w:rPr>
              <w:t>only)</w:t>
            </w:r>
          </w:p>
          <w:p w14:paraId="5690902B" w14:textId="316A138F" w:rsidR="00763058" w:rsidRPr="00CB64CA" w:rsidRDefault="00763058" w:rsidP="00763058">
            <w:pPr>
              <w:rPr>
                <w:sz w:val="22"/>
                <w:szCs w:val="24"/>
              </w:rPr>
            </w:pPr>
            <w:r w:rsidRPr="00CB64CA">
              <w:rPr>
                <w:sz w:val="22"/>
                <w:szCs w:val="24"/>
              </w:rPr>
              <w:t>Freight House, Rochford</w:t>
            </w:r>
          </w:p>
          <w:p w14:paraId="02F79D0A" w14:textId="77777777" w:rsidR="00763058" w:rsidRPr="00CB64CA" w:rsidRDefault="00763058" w:rsidP="00763058">
            <w:pPr>
              <w:rPr>
                <w:sz w:val="22"/>
                <w:szCs w:val="24"/>
              </w:rPr>
            </w:pPr>
          </w:p>
        </w:tc>
        <w:tc>
          <w:tcPr>
            <w:tcW w:w="2010" w:type="dxa"/>
            <w:tcBorders>
              <w:bottom w:val="single" w:sz="4" w:space="0" w:color="auto"/>
            </w:tcBorders>
          </w:tcPr>
          <w:p w14:paraId="70503849" w14:textId="77777777" w:rsidR="00763058" w:rsidRPr="00CB64CA" w:rsidRDefault="00763058" w:rsidP="00763058">
            <w:pPr>
              <w:rPr>
                <w:sz w:val="22"/>
                <w:szCs w:val="24"/>
              </w:rPr>
            </w:pPr>
          </w:p>
          <w:p w14:paraId="508C3671" w14:textId="75C40A44" w:rsidR="00763058" w:rsidRPr="00CB64CA" w:rsidRDefault="681F6150" w:rsidP="00763058">
            <w:pPr>
              <w:rPr>
                <w:sz w:val="22"/>
              </w:rPr>
            </w:pPr>
            <w:r w:rsidRPr="31C2C1FC">
              <w:rPr>
                <w:sz w:val="22"/>
              </w:rPr>
              <w:t xml:space="preserve">Up to </w:t>
            </w:r>
            <w:r w:rsidR="2FCB80C4" w:rsidRPr="31C2C1FC">
              <w:rPr>
                <w:sz w:val="22"/>
              </w:rPr>
              <w:t>30 minutes</w:t>
            </w:r>
          </w:p>
          <w:p w14:paraId="2E116970" w14:textId="77777777" w:rsidR="00763058" w:rsidRPr="00CB64CA" w:rsidRDefault="00763058" w:rsidP="00763058">
            <w:pPr>
              <w:rPr>
                <w:sz w:val="22"/>
                <w:szCs w:val="24"/>
              </w:rPr>
            </w:pPr>
            <w:r w:rsidRPr="00CB64CA">
              <w:rPr>
                <w:sz w:val="22"/>
                <w:szCs w:val="24"/>
              </w:rPr>
              <w:t>Up to 1 Hour</w:t>
            </w:r>
          </w:p>
          <w:p w14:paraId="6D06C61A" w14:textId="77777777" w:rsidR="00763058" w:rsidRPr="00CB64CA" w:rsidRDefault="00763058" w:rsidP="00763058">
            <w:pPr>
              <w:rPr>
                <w:sz w:val="22"/>
                <w:szCs w:val="24"/>
              </w:rPr>
            </w:pPr>
            <w:r w:rsidRPr="00CB64CA">
              <w:rPr>
                <w:sz w:val="22"/>
                <w:szCs w:val="24"/>
              </w:rPr>
              <w:t>Up to 2 Hours</w:t>
            </w:r>
          </w:p>
          <w:p w14:paraId="37EABA2C" w14:textId="77777777" w:rsidR="00763058" w:rsidRPr="00CB64CA" w:rsidRDefault="00763058" w:rsidP="00763058">
            <w:pPr>
              <w:rPr>
                <w:sz w:val="22"/>
                <w:szCs w:val="24"/>
              </w:rPr>
            </w:pPr>
            <w:r w:rsidRPr="00CB64CA">
              <w:rPr>
                <w:sz w:val="22"/>
                <w:szCs w:val="24"/>
              </w:rPr>
              <w:t>Up to 3 Hours</w:t>
            </w:r>
          </w:p>
          <w:p w14:paraId="42F50506" w14:textId="77777777" w:rsidR="00763058" w:rsidRPr="00CB64CA" w:rsidRDefault="00763058" w:rsidP="00763058">
            <w:pPr>
              <w:rPr>
                <w:sz w:val="22"/>
                <w:szCs w:val="24"/>
              </w:rPr>
            </w:pPr>
            <w:r w:rsidRPr="00CB64CA">
              <w:rPr>
                <w:sz w:val="22"/>
                <w:szCs w:val="24"/>
              </w:rPr>
              <w:t>Up to 4 Hours</w:t>
            </w:r>
          </w:p>
          <w:p w14:paraId="5B65F1DF" w14:textId="5B41931C" w:rsidR="00763058" w:rsidRDefault="00763058" w:rsidP="00763058">
            <w:pPr>
              <w:rPr>
                <w:sz w:val="22"/>
                <w:szCs w:val="24"/>
              </w:rPr>
            </w:pPr>
            <w:r>
              <w:rPr>
                <w:sz w:val="22"/>
                <w:szCs w:val="24"/>
              </w:rPr>
              <w:t>Up to 5 hours</w:t>
            </w:r>
          </w:p>
          <w:p w14:paraId="4CCE8541" w14:textId="753A5F46" w:rsidR="00763058" w:rsidRPr="00CB64CA" w:rsidRDefault="00763058" w:rsidP="00763058">
            <w:pPr>
              <w:rPr>
                <w:sz w:val="22"/>
                <w:szCs w:val="24"/>
              </w:rPr>
            </w:pPr>
            <w:r w:rsidRPr="00CB64CA">
              <w:rPr>
                <w:sz w:val="22"/>
                <w:szCs w:val="24"/>
              </w:rPr>
              <w:t>All Day</w:t>
            </w:r>
          </w:p>
        </w:tc>
        <w:tc>
          <w:tcPr>
            <w:tcW w:w="1485" w:type="dxa"/>
            <w:tcBorders>
              <w:bottom w:val="single" w:sz="4" w:space="0" w:color="auto"/>
            </w:tcBorders>
          </w:tcPr>
          <w:p w14:paraId="29DAF2CB" w14:textId="77777777" w:rsidR="00763058" w:rsidRPr="00CB64CA" w:rsidRDefault="00763058" w:rsidP="00763058">
            <w:pPr>
              <w:rPr>
                <w:sz w:val="22"/>
                <w:szCs w:val="24"/>
              </w:rPr>
            </w:pPr>
          </w:p>
          <w:p w14:paraId="5A23C0A1" w14:textId="222B93B1" w:rsidR="00763058" w:rsidRPr="00CB64CA" w:rsidRDefault="681F6150" w:rsidP="00763058">
            <w:pPr>
              <w:rPr>
                <w:sz w:val="22"/>
              </w:rPr>
            </w:pPr>
            <w:r w:rsidRPr="31C2C1FC">
              <w:rPr>
                <w:sz w:val="22"/>
              </w:rPr>
              <w:t>0.</w:t>
            </w:r>
            <w:r w:rsidR="5D1AE86A" w:rsidRPr="31C2C1FC">
              <w:rPr>
                <w:sz w:val="22"/>
              </w:rPr>
              <w:t>5</w:t>
            </w:r>
            <w:r w:rsidR="31B5568C" w:rsidRPr="31C2C1FC">
              <w:rPr>
                <w:sz w:val="22"/>
              </w:rPr>
              <w:t>5</w:t>
            </w:r>
          </w:p>
          <w:p w14:paraId="28A1CB6A" w14:textId="3AF63FD2" w:rsidR="00763058" w:rsidRPr="00CB64CA" w:rsidRDefault="681F6150" w:rsidP="00763058">
            <w:pPr>
              <w:ind w:right="-20"/>
              <w:rPr>
                <w:sz w:val="22"/>
              </w:rPr>
            </w:pPr>
            <w:r w:rsidRPr="31C2C1FC">
              <w:rPr>
                <w:sz w:val="22"/>
              </w:rPr>
              <w:t>1.</w:t>
            </w:r>
            <w:r w:rsidR="17B461A6" w:rsidRPr="31C2C1FC">
              <w:rPr>
                <w:sz w:val="22"/>
              </w:rPr>
              <w:t>4</w:t>
            </w:r>
            <w:r w:rsidRPr="31C2C1FC">
              <w:rPr>
                <w:sz w:val="22"/>
              </w:rPr>
              <w:t>0</w:t>
            </w:r>
          </w:p>
          <w:p w14:paraId="62055CB3" w14:textId="47007126" w:rsidR="00763058" w:rsidRPr="00CB64CA" w:rsidRDefault="681F6150" w:rsidP="00763058">
            <w:pPr>
              <w:rPr>
                <w:sz w:val="22"/>
              </w:rPr>
            </w:pPr>
            <w:r w:rsidRPr="31C2C1FC">
              <w:rPr>
                <w:sz w:val="22"/>
              </w:rPr>
              <w:t>2.</w:t>
            </w:r>
            <w:r w:rsidR="09932392" w:rsidRPr="31C2C1FC">
              <w:rPr>
                <w:sz w:val="22"/>
              </w:rPr>
              <w:t>4</w:t>
            </w:r>
            <w:r w:rsidRPr="31C2C1FC">
              <w:rPr>
                <w:sz w:val="22"/>
              </w:rPr>
              <w:t>0</w:t>
            </w:r>
          </w:p>
          <w:p w14:paraId="02C22BE7" w14:textId="415A310F" w:rsidR="00763058" w:rsidRPr="00CB64CA" w:rsidRDefault="5D1AE86A" w:rsidP="00763058">
            <w:pPr>
              <w:rPr>
                <w:sz w:val="22"/>
              </w:rPr>
            </w:pPr>
            <w:r w:rsidRPr="31C2C1FC">
              <w:rPr>
                <w:sz w:val="22"/>
              </w:rPr>
              <w:t>3</w:t>
            </w:r>
            <w:r w:rsidR="681F6150" w:rsidRPr="31C2C1FC">
              <w:rPr>
                <w:sz w:val="22"/>
              </w:rPr>
              <w:t>.</w:t>
            </w:r>
            <w:r w:rsidR="1ED29F93" w:rsidRPr="31C2C1FC">
              <w:rPr>
                <w:sz w:val="22"/>
              </w:rPr>
              <w:t>3</w:t>
            </w:r>
            <w:r w:rsidR="681F6150" w:rsidRPr="31C2C1FC">
              <w:rPr>
                <w:sz w:val="22"/>
              </w:rPr>
              <w:t>0</w:t>
            </w:r>
          </w:p>
          <w:p w14:paraId="6E1AED78" w14:textId="3C45E554" w:rsidR="00763058" w:rsidRPr="00CB64CA" w:rsidRDefault="5D1AE86A" w:rsidP="00763058">
            <w:pPr>
              <w:rPr>
                <w:sz w:val="22"/>
              </w:rPr>
            </w:pPr>
            <w:r w:rsidRPr="31C2C1FC">
              <w:rPr>
                <w:sz w:val="22"/>
              </w:rPr>
              <w:t>4</w:t>
            </w:r>
            <w:r w:rsidR="681F6150" w:rsidRPr="31C2C1FC">
              <w:rPr>
                <w:sz w:val="22"/>
              </w:rPr>
              <w:t>.</w:t>
            </w:r>
            <w:r w:rsidR="7B23123A" w:rsidRPr="31C2C1FC">
              <w:rPr>
                <w:sz w:val="22"/>
              </w:rPr>
              <w:t>2</w:t>
            </w:r>
            <w:r w:rsidR="681F6150" w:rsidRPr="31C2C1FC">
              <w:rPr>
                <w:sz w:val="22"/>
              </w:rPr>
              <w:t>0</w:t>
            </w:r>
          </w:p>
          <w:p w14:paraId="1A150969" w14:textId="23C2EAB0" w:rsidR="00763058" w:rsidRDefault="681F6150" w:rsidP="00763058">
            <w:pPr>
              <w:ind w:right="-161"/>
              <w:rPr>
                <w:sz w:val="22"/>
              </w:rPr>
            </w:pPr>
            <w:r w:rsidRPr="31C2C1FC">
              <w:rPr>
                <w:sz w:val="22"/>
              </w:rPr>
              <w:t>4.</w:t>
            </w:r>
            <w:r w:rsidR="6EC20DD1" w:rsidRPr="31C2C1FC">
              <w:rPr>
                <w:sz w:val="22"/>
              </w:rPr>
              <w:t>6</w:t>
            </w:r>
            <w:r w:rsidRPr="31C2C1FC">
              <w:rPr>
                <w:sz w:val="22"/>
              </w:rPr>
              <w:t>0</w:t>
            </w:r>
          </w:p>
          <w:p w14:paraId="0915448B" w14:textId="1DE974A0" w:rsidR="00763058" w:rsidRPr="00CB64CA" w:rsidRDefault="5A7DA73E" w:rsidP="00763058">
            <w:pPr>
              <w:rPr>
                <w:sz w:val="22"/>
              </w:rPr>
            </w:pPr>
            <w:r w:rsidRPr="31C2C1FC">
              <w:rPr>
                <w:sz w:val="22"/>
              </w:rPr>
              <w:t>6</w:t>
            </w:r>
            <w:r w:rsidR="681F6150" w:rsidRPr="31C2C1FC">
              <w:rPr>
                <w:sz w:val="22"/>
              </w:rPr>
              <w:t>.</w:t>
            </w:r>
            <w:r w:rsidR="3F0037C0" w:rsidRPr="31C2C1FC">
              <w:rPr>
                <w:sz w:val="22"/>
              </w:rPr>
              <w:t>5</w:t>
            </w:r>
            <w:r w:rsidR="681F6150" w:rsidRPr="31C2C1FC">
              <w:rPr>
                <w:sz w:val="22"/>
              </w:rPr>
              <w:t>0</w:t>
            </w:r>
          </w:p>
        </w:tc>
        <w:tc>
          <w:tcPr>
            <w:tcW w:w="1516" w:type="dxa"/>
            <w:tcBorders>
              <w:bottom w:val="single" w:sz="4" w:space="0" w:color="auto"/>
            </w:tcBorders>
          </w:tcPr>
          <w:p w14:paraId="0FF34C9C" w14:textId="77777777" w:rsidR="00763058" w:rsidRPr="00CB64CA" w:rsidRDefault="00763058" w:rsidP="00763058">
            <w:pPr>
              <w:rPr>
                <w:sz w:val="22"/>
                <w:szCs w:val="24"/>
              </w:rPr>
            </w:pPr>
          </w:p>
          <w:p w14:paraId="03CEB46C" w14:textId="015D4CDC" w:rsidR="00763058" w:rsidRPr="00CB64CA" w:rsidRDefault="0017596A" w:rsidP="00763058">
            <w:pPr>
              <w:rPr>
                <w:sz w:val="22"/>
                <w:szCs w:val="24"/>
              </w:rPr>
            </w:pPr>
            <w:r>
              <w:rPr>
                <w:sz w:val="22"/>
                <w:szCs w:val="24"/>
              </w:rPr>
              <w:t>FREE</w:t>
            </w:r>
          </w:p>
          <w:p w14:paraId="2BEC4C1B" w14:textId="6167D9AC" w:rsidR="00763058" w:rsidRPr="00CB64CA" w:rsidRDefault="681F6150" w:rsidP="00763058">
            <w:pPr>
              <w:ind w:right="-20"/>
              <w:rPr>
                <w:sz w:val="22"/>
              </w:rPr>
            </w:pPr>
            <w:r w:rsidRPr="31C2C1FC">
              <w:rPr>
                <w:sz w:val="22"/>
              </w:rPr>
              <w:t>1.</w:t>
            </w:r>
            <w:r w:rsidR="4F71B6D1" w:rsidRPr="31C2C1FC">
              <w:rPr>
                <w:sz w:val="22"/>
              </w:rPr>
              <w:t>4</w:t>
            </w:r>
            <w:r w:rsidRPr="31C2C1FC">
              <w:rPr>
                <w:sz w:val="22"/>
              </w:rPr>
              <w:t>0</w:t>
            </w:r>
          </w:p>
          <w:p w14:paraId="23307C7B" w14:textId="408FFB49" w:rsidR="00763058" w:rsidRPr="00CB64CA" w:rsidRDefault="681F6150" w:rsidP="00763058">
            <w:pPr>
              <w:rPr>
                <w:sz w:val="22"/>
              </w:rPr>
            </w:pPr>
            <w:r w:rsidRPr="31C2C1FC">
              <w:rPr>
                <w:sz w:val="22"/>
              </w:rPr>
              <w:t>2.</w:t>
            </w:r>
            <w:r w:rsidR="15B4E1B0" w:rsidRPr="31C2C1FC">
              <w:rPr>
                <w:sz w:val="22"/>
              </w:rPr>
              <w:t>4</w:t>
            </w:r>
            <w:r w:rsidRPr="31C2C1FC">
              <w:rPr>
                <w:sz w:val="22"/>
              </w:rPr>
              <w:t>0</w:t>
            </w:r>
          </w:p>
          <w:p w14:paraId="162437E7" w14:textId="18E4A32A" w:rsidR="00763058" w:rsidRPr="00CB64CA" w:rsidRDefault="681F6150" w:rsidP="00763058">
            <w:pPr>
              <w:rPr>
                <w:sz w:val="22"/>
              </w:rPr>
            </w:pPr>
            <w:r w:rsidRPr="31C2C1FC">
              <w:rPr>
                <w:sz w:val="22"/>
              </w:rPr>
              <w:t>3.</w:t>
            </w:r>
            <w:r w:rsidR="0F7272EB" w:rsidRPr="31C2C1FC">
              <w:rPr>
                <w:sz w:val="22"/>
              </w:rPr>
              <w:t>3</w:t>
            </w:r>
            <w:r w:rsidRPr="31C2C1FC">
              <w:rPr>
                <w:sz w:val="22"/>
              </w:rPr>
              <w:t>0</w:t>
            </w:r>
          </w:p>
          <w:p w14:paraId="06815BC2" w14:textId="569DFD5F" w:rsidR="00763058" w:rsidRPr="00CB64CA" w:rsidRDefault="681F6150" w:rsidP="00763058">
            <w:pPr>
              <w:rPr>
                <w:sz w:val="22"/>
              </w:rPr>
            </w:pPr>
            <w:r w:rsidRPr="31C2C1FC">
              <w:rPr>
                <w:sz w:val="22"/>
              </w:rPr>
              <w:t>4.</w:t>
            </w:r>
            <w:r w:rsidR="22DF7212" w:rsidRPr="31C2C1FC">
              <w:rPr>
                <w:sz w:val="22"/>
              </w:rPr>
              <w:t>2</w:t>
            </w:r>
            <w:r w:rsidRPr="31C2C1FC">
              <w:rPr>
                <w:sz w:val="22"/>
              </w:rPr>
              <w:t>0</w:t>
            </w:r>
          </w:p>
          <w:p w14:paraId="4AF4A569" w14:textId="3E07F2C3" w:rsidR="00763058" w:rsidRDefault="681F6150" w:rsidP="00763058">
            <w:pPr>
              <w:ind w:right="-161"/>
              <w:rPr>
                <w:sz w:val="22"/>
              </w:rPr>
            </w:pPr>
            <w:r w:rsidRPr="31C2C1FC">
              <w:rPr>
                <w:sz w:val="22"/>
              </w:rPr>
              <w:t>4.</w:t>
            </w:r>
            <w:r w:rsidR="33FB3D93" w:rsidRPr="31C2C1FC">
              <w:rPr>
                <w:sz w:val="22"/>
              </w:rPr>
              <w:t>6</w:t>
            </w:r>
            <w:r w:rsidRPr="31C2C1FC">
              <w:rPr>
                <w:sz w:val="22"/>
              </w:rPr>
              <w:t>0</w:t>
            </w:r>
          </w:p>
          <w:p w14:paraId="2BA9D5DA" w14:textId="33EE181A" w:rsidR="00763058" w:rsidRPr="00CB64CA" w:rsidRDefault="650EB19F" w:rsidP="00763058">
            <w:pPr>
              <w:ind w:right="-161"/>
              <w:rPr>
                <w:sz w:val="22"/>
              </w:rPr>
            </w:pPr>
            <w:r w:rsidRPr="31C2C1FC">
              <w:rPr>
                <w:sz w:val="22"/>
              </w:rPr>
              <w:t>6</w:t>
            </w:r>
            <w:r w:rsidR="681F6150" w:rsidRPr="31C2C1FC">
              <w:rPr>
                <w:sz w:val="22"/>
              </w:rPr>
              <w:t>.</w:t>
            </w:r>
            <w:r w:rsidR="37894B1C" w:rsidRPr="31C2C1FC">
              <w:rPr>
                <w:sz w:val="22"/>
              </w:rPr>
              <w:t>5</w:t>
            </w:r>
            <w:r w:rsidR="681F6150" w:rsidRPr="31C2C1FC">
              <w:rPr>
                <w:sz w:val="22"/>
              </w:rPr>
              <w:t>0</w:t>
            </w:r>
          </w:p>
        </w:tc>
      </w:tr>
    </w:tbl>
    <w:p w14:paraId="75634C82" w14:textId="77777777" w:rsidR="00A65B62" w:rsidRDefault="00A65B62" w:rsidP="009C767E">
      <w:pPr>
        <w:spacing w:after="0" w:line="240" w:lineRule="auto"/>
        <w:rPr>
          <w:b/>
          <w:szCs w:val="24"/>
          <w:u w:val="single"/>
        </w:rPr>
      </w:pPr>
    </w:p>
    <w:p w14:paraId="09C90D0D" w14:textId="70E6E3F7" w:rsidR="31C2C1FC" w:rsidRDefault="31C2C1FC" w:rsidP="31C2C1FC">
      <w:pPr>
        <w:spacing w:after="0" w:line="240" w:lineRule="auto"/>
        <w:jc w:val="both"/>
        <w:rPr>
          <w:sz w:val="22"/>
        </w:rPr>
      </w:pPr>
    </w:p>
    <w:p w14:paraId="7D7AFDF3" w14:textId="77777777" w:rsidR="005E6207" w:rsidRPr="00CB64CA" w:rsidRDefault="000A3CA3" w:rsidP="005E6207">
      <w:pPr>
        <w:spacing w:after="0" w:line="240" w:lineRule="auto"/>
        <w:jc w:val="both"/>
        <w:rPr>
          <w:b/>
          <w:sz w:val="22"/>
          <w:szCs w:val="24"/>
        </w:rPr>
      </w:pPr>
      <w:r w:rsidRPr="00CB64CA">
        <w:rPr>
          <w:sz w:val="22"/>
          <w:szCs w:val="24"/>
        </w:rPr>
        <w:t xml:space="preserve">This Notice applies </w:t>
      </w:r>
      <w:r w:rsidR="0093305E">
        <w:rPr>
          <w:sz w:val="22"/>
          <w:szCs w:val="24"/>
        </w:rPr>
        <w:t xml:space="preserve">only </w:t>
      </w:r>
      <w:r w:rsidRPr="00CB64CA">
        <w:rPr>
          <w:sz w:val="22"/>
          <w:szCs w:val="24"/>
        </w:rPr>
        <w:t>to the charges above and in all othe</w:t>
      </w:r>
      <w:r w:rsidR="005E6207" w:rsidRPr="00CB64CA">
        <w:rPr>
          <w:sz w:val="22"/>
          <w:szCs w:val="24"/>
        </w:rPr>
        <w:t>r respects the provisions of</w:t>
      </w:r>
      <w:r w:rsidRPr="00CB64CA">
        <w:rPr>
          <w:sz w:val="22"/>
          <w:szCs w:val="24"/>
        </w:rPr>
        <w:t xml:space="preserve"> </w:t>
      </w:r>
      <w:r w:rsidR="005E6207" w:rsidRPr="00CB64CA">
        <w:rPr>
          <w:sz w:val="22"/>
          <w:szCs w:val="24"/>
        </w:rPr>
        <w:t>The Order will remain in force</w:t>
      </w:r>
      <w:r w:rsidR="0093305E">
        <w:rPr>
          <w:sz w:val="22"/>
          <w:szCs w:val="24"/>
        </w:rPr>
        <w:t>.</w:t>
      </w:r>
    </w:p>
    <w:p w14:paraId="726D54AD" w14:textId="4FCE5473" w:rsidR="005E6207" w:rsidRDefault="005E6207" w:rsidP="31C2C1FC">
      <w:pPr>
        <w:spacing w:after="0" w:line="240" w:lineRule="auto"/>
        <w:rPr>
          <w:b/>
          <w:bCs/>
          <w:sz w:val="22"/>
        </w:rPr>
      </w:pPr>
    </w:p>
    <w:p w14:paraId="544B16FB" w14:textId="0FFD6069" w:rsidR="31C2C1FC" w:rsidRDefault="00832532" w:rsidP="31C2C1FC">
      <w:pPr>
        <w:spacing w:after="0" w:line="240" w:lineRule="auto"/>
        <w:rPr>
          <w:b/>
          <w:bCs/>
          <w:sz w:val="22"/>
        </w:rPr>
      </w:pPr>
      <w:r>
        <w:rPr>
          <w:noProof/>
        </w:rPr>
        <w:drawing>
          <wp:inline distT="0" distB="0" distL="0" distR="0" wp14:anchorId="4DF6D791" wp14:editId="43B22CAE">
            <wp:extent cx="1752600" cy="765951"/>
            <wp:effectExtent l="0" t="0" r="0" b="0"/>
            <wp:docPr id="1370144597" name="Picture 1" descr="A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44597" name="Picture 1" descr="A signature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1388" cy="769792"/>
                    </a:xfrm>
                    <a:prstGeom prst="rect">
                      <a:avLst/>
                    </a:prstGeom>
                    <a:noFill/>
                    <a:ln>
                      <a:noFill/>
                    </a:ln>
                  </pic:spPr>
                </pic:pic>
              </a:graphicData>
            </a:graphic>
          </wp:inline>
        </w:drawing>
      </w:r>
    </w:p>
    <w:p w14:paraId="003A9758" w14:textId="75191D35" w:rsidR="31C2C1FC" w:rsidRDefault="31C2C1FC" w:rsidP="31C2C1FC">
      <w:pPr>
        <w:spacing w:after="0" w:line="240" w:lineRule="auto"/>
        <w:rPr>
          <w:b/>
          <w:bCs/>
          <w:sz w:val="22"/>
        </w:rPr>
      </w:pPr>
    </w:p>
    <w:p w14:paraId="1C9D0196" w14:textId="77777777" w:rsidR="003F1F2A" w:rsidRDefault="003F1F2A" w:rsidP="003F1F2A">
      <w:pPr>
        <w:spacing w:after="0" w:line="240" w:lineRule="auto"/>
        <w:rPr>
          <w:b/>
          <w:sz w:val="22"/>
          <w:szCs w:val="24"/>
        </w:rPr>
      </w:pPr>
      <w:r>
        <w:rPr>
          <w:b/>
          <w:sz w:val="22"/>
          <w:szCs w:val="24"/>
        </w:rPr>
        <w:t xml:space="preserve">Phoebe Barnes </w:t>
      </w:r>
    </w:p>
    <w:p w14:paraId="4E52A485" w14:textId="77777777" w:rsidR="003F1F2A" w:rsidRDefault="003F1F2A" w:rsidP="003F1F2A">
      <w:pPr>
        <w:spacing w:after="0" w:line="240" w:lineRule="auto"/>
        <w:rPr>
          <w:b/>
          <w:sz w:val="22"/>
          <w:szCs w:val="24"/>
        </w:rPr>
      </w:pPr>
      <w:r>
        <w:rPr>
          <w:b/>
          <w:sz w:val="22"/>
          <w:szCs w:val="24"/>
        </w:rPr>
        <w:t>Director - Assets and Investments</w:t>
      </w:r>
    </w:p>
    <w:p w14:paraId="537E51AA" w14:textId="77777777" w:rsidR="003F1F2A" w:rsidRDefault="003F1F2A" w:rsidP="003F1F2A">
      <w:pPr>
        <w:spacing w:after="0" w:line="240" w:lineRule="auto"/>
        <w:rPr>
          <w:b/>
          <w:sz w:val="22"/>
          <w:szCs w:val="24"/>
        </w:rPr>
      </w:pPr>
    </w:p>
    <w:p w14:paraId="1ED1A7B2" w14:textId="59924E68" w:rsidR="005E6207" w:rsidRPr="00BD1777" w:rsidRDefault="003F1F2A" w:rsidP="31C2C1FC">
      <w:pPr>
        <w:spacing w:after="0" w:line="240" w:lineRule="auto"/>
        <w:rPr>
          <w:b/>
          <w:bCs/>
          <w:sz w:val="22"/>
        </w:rPr>
      </w:pPr>
      <w:r w:rsidRPr="31C2C1FC">
        <w:rPr>
          <w:b/>
          <w:bCs/>
          <w:sz w:val="22"/>
        </w:rPr>
        <w:t xml:space="preserve">Dated: </w:t>
      </w:r>
      <w:r w:rsidR="0BD9E9A2" w:rsidRPr="31C2C1FC">
        <w:rPr>
          <w:b/>
          <w:bCs/>
          <w:sz w:val="22"/>
        </w:rPr>
        <w:t>4</w:t>
      </w:r>
      <w:r w:rsidR="0017596A" w:rsidRPr="31C2C1FC">
        <w:rPr>
          <w:b/>
          <w:bCs/>
          <w:sz w:val="22"/>
        </w:rPr>
        <w:t xml:space="preserve"> </w:t>
      </w:r>
      <w:r w:rsidR="4287BB25" w:rsidRPr="31C2C1FC">
        <w:rPr>
          <w:b/>
          <w:bCs/>
          <w:sz w:val="22"/>
        </w:rPr>
        <w:t>August</w:t>
      </w:r>
      <w:r w:rsidR="003523D3" w:rsidRPr="31C2C1FC">
        <w:rPr>
          <w:b/>
          <w:bCs/>
          <w:sz w:val="22"/>
        </w:rPr>
        <w:t xml:space="preserve"> </w:t>
      </w:r>
      <w:r w:rsidRPr="31C2C1FC">
        <w:rPr>
          <w:b/>
          <w:bCs/>
          <w:sz w:val="22"/>
        </w:rPr>
        <w:t>202</w:t>
      </w:r>
      <w:r w:rsidR="0017596A" w:rsidRPr="31C2C1FC">
        <w:rPr>
          <w:b/>
          <w:bCs/>
          <w:sz w:val="22"/>
        </w:rPr>
        <w:t>5</w:t>
      </w:r>
    </w:p>
    <w:sectPr w:rsidR="005E6207" w:rsidRPr="00BD1777" w:rsidSect="00AD4230">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5D06A" w14:textId="77777777" w:rsidR="00712771" w:rsidRDefault="00712771" w:rsidP="005E6207">
      <w:pPr>
        <w:spacing w:after="0" w:line="240" w:lineRule="auto"/>
      </w:pPr>
      <w:r>
        <w:separator/>
      </w:r>
    </w:p>
  </w:endnote>
  <w:endnote w:type="continuationSeparator" w:id="0">
    <w:p w14:paraId="4B5DDBFD" w14:textId="77777777" w:rsidR="00712771" w:rsidRDefault="00712771" w:rsidP="005E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47005" w14:textId="77777777" w:rsidR="00712771" w:rsidRDefault="00712771" w:rsidP="005E6207">
      <w:pPr>
        <w:spacing w:after="0" w:line="240" w:lineRule="auto"/>
      </w:pPr>
      <w:r>
        <w:separator/>
      </w:r>
    </w:p>
  </w:footnote>
  <w:footnote w:type="continuationSeparator" w:id="0">
    <w:p w14:paraId="39B417FE" w14:textId="77777777" w:rsidR="00712771" w:rsidRDefault="00712771" w:rsidP="005E6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37558"/>
    <w:multiLevelType w:val="hybridMultilevel"/>
    <w:tmpl w:val="C28E469A"/>
    <w:lvl w:ilvl="0" w:tplc="DC5C6982">
      <w:start w:val="2"/>
      <w:numFmt w:val="decimal"/>
      <w:lvlText w:val="%1."/>
      <w:lvlJc w:val="left"/>
      <w:pPr>
        <w:ind w:left="780" w:hanging="360"/>
      </w:pPr>
    </w:lvl>
    <w:lvl w:ilvl="1" w:tplc="048EF552">
      <w:start w:val="1"/>
      <w:numFmt w:val="lowerLetter"/>
      <w:lvlText w:val="%2."/>
      <w:lvlJc w:val="left"/>
      <w:pPr>
        <w:ind w:left="1500" w:hanging="360"/>
      </w:pPr>
    </w:lvl>
    <w:lvl w:ilvl="2" w:tplc="0C44EA48">
      <w:start w:val="1"/>
      <w:numFmt w:val="lowerRoman"/>
      <w:lvlText w:val="%3."/>
      <w:lvlJc w:val="right"/>
      <w:pPr>
        <w:ind w:left="2160" w:hanging="180"/>
      </w:pPr>
    </w:lvl>
    <w:lvl w:ilvl="3" w:tplc="8CF88BD4">
      <w:start w:val="1"/>
      <w:numFmt w:val="decimal"/>
      <w:lvlText w:val="%4."/>
      <w:lvlJc w:val="left"/>
      <w:pPr>
        <w:ind w:left="2880" w:hanging="360"/>
      </w:pPr>
    </w:lvl>
    <w:lvl w:ilvl="4" w:tplc="E586F88A">
      <w:start w:val="1"/>
      <w:numFmt w:val="lowerLetter"/>
      <w:lvlText w:val="%5."/>
      <w:lvlJc w:val="left"/>
      <w:pPr>
        <w:ind w:left="3600" w:hanging="360"/>
      </w:pPr>
    </w:lvl>
    <w:lvl w:ilvl="5" w:tplc="91A61678">
      <w:start w:val="1"/>
      <w:numFmt w:val="lowerRoman"/>
      <w:lvlText w:val="%6."/>
      <w:lvlJc w:val="right"/>
      <w:pPr>
        <w:ind w:left="4320" w:hanging="180"/>
      </w:pPr>
    </w:lvl>
    <w:lvl w:ilvl="6" w:tplc="6FB01A38">
      <w:start w:val="1"/>
      <w:numFmt w:val="decimal"/>
      <w:lvlText w:val="%7."/>
      <w:lvlJc w:val="left"/>
      <w:pPr>
        <w:ind w:left="5040" w:hanging="360"/>
      </w:pPr>
    </w:lvl>
    <w:lvl w:ilvl="7" w:tplc="46467B64">
      <w:start w:val="1"/>
      <w:numFmt w:val="lowerLetter"/>
      <w:lvlText w:val="%8."/>
      <w:lvlJc w:val="left"/>
      <w:pPr>
        <w:ind w:left="5760" w:hanging="360"/>
      </w:pPr>
    </w:lvl>
    <w:lvl w:ilvl="8" w:tplc="4CC20ECC">
      <w:start w:val="1"/>
      <w:numFmt w:val="lowerRoman"/>
      <w:lvlText w:val="%9."/>
      <w:lvlJc w:val="right"/>
      <w:pPr>
        <w:ind w:left="6480" w:hanging="180"/>
      </w:pPr>
    </w:lvl>
  </w:abstractNum>
  <w:abstractNum w:abstractNumId="1" w15:restartNumberingAfterBreak="0">
    <w:nsid w:val="7AB669CF"/>
    <w:multiLevelType w:val="multilevel"/>
    <w:tmpl w:val="8564C61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376084471">
    <w:abstractNumId w:val="0"/>
  </w:num>
  <w:num w:numId="2" w16cid:durableId="1736590416">
    <w:abstractNumId w:val="1"/>
  </w:num>
  <w:num w:numId="3" w16cid:durableId="1468737996">
    <w:abstractNumId w:val="1"/>
  </w:num>
  <w:num w:numId="4" w16cid:durableId="527913016">
    <w:abstractNumId w:val="1"/>
  </w:num>
  <w:num w:numId="5" w16cid:durableId="1524858437">
    <w:abstractNumId w:val="1"/>
  </w:num>
  <w:num w:numId="6" w16cid:durableId="1957103512">
    <w:abstractNumId w:val="1"/>
  </w:num>
  <w:num w:numId="7" w16cid:durableId="1454254465">
    <w:abstractNumId w:val="1"/>
  </w:num>
  <w:num w:numId="8" w16cid:durableId="256643812">
    <w:abstractNumId w:val="1"/>
  </w:num>
  <w:num w:numId="9" w16cid:durableId="964581569">
    <w:abstractNumId w:val="1"/>
  </w:num>
  <w:num w:numId="10" w16cid:durableId="77112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7E"/>
    <w:rsid w:val="00011181"/>
    <w:rsid w:val="00060882"/>
    <w:rsid w:val="0006366C"/>
    <w:rsid w:val="000A3CA3"/>
    <w:rsid w:val="000B7DA0"/>
    <w:rsid w:val="00100F5D"/>
    <w:rsid w:val="001357B5"/>
    <w:rsid w:val="0015577A"/>
    <w:rsid w:val="0016722A"/>
    <w:rsid w:val="0017596A"/>
    <w:rsid w:val="001A3C89"/>
    <w:rsid w:val="001A6CA5"/>
    <w:rsid w:val="001F6E0D"/>
    <w:rsid w:val="00201024"/>
    <w:rsid w:val="00205F84"/>
    <w:rsid w:val="0021323B"/>
    <w:rsid w:val="002304EA"/>
    <w:rsid w:val="00230C45"/>
    <w:rsid w:val="00271ECB"/>
    <w:rsid w:val="002725BB"/>
    <w:rsid w:val="002A5176"/>
    <w:rsid w:val="002D2C06"/>
    <w:rsid w:val="00313B3B"/>
    <w:rsid w:val="00324864"/>
    <w:rsid w:val="00335BAD"/>
    <w:rsid w:val="003523D3"/>
    <w:rsid w:val="00393BFD"/>
    <w:rsid w:val="003A344A"/>
    <w:rsid w:val="003B378D"/>
    <w:rsid w:val="003E4A4C"/>
    <w:rsid w:val="003F1F2A"/>
    <w:rsid w:val="00416255"/>
    <w:rsid w:val="004C729E"/>
    <w:rsid w:val="004D4ADF"/>
    <w:rsid w:val="004D5882"/>
    <w:rsid w:val="004E6986"/>
    <w:rsid w:val="004E78E1"/>
    <w:rsid w:val="005039E0"/>
    <w:rsid w:val="0053434B"/>
    <w:rsid w:val="005444EE"/>
    <w:rsid w:val="0055006F"/>
    <w:rsid w:val="00555AAD"/>
    <w:rsid w:val="005563C2"/>
    <w:rsid w:val="005A08E7"/>
    <w:rsid w:val="005E6207"/>
    <w:rsid w:val="0060741A"/>
    <w:rsid w:val="00613E5B"/>
    <w:rsid w:val="00623D37"/>
    <w:rsid w:val="00625BED"/>
    <w:rsid w:val="006B595C"/>
    <w:rsid w:val="006C2C5E"/>
    <w:rsid w:val="006D5975"/>
    <w:rsid w:val="006F387B"/>
    <w:rsid w:val="007017D5"/>
    <w:rsid w:val="00712771"/>
    <w:rsid w:val="00733DBD"/>
    <w:rsid w:val="00763058"/>
    <w:rsid w:val="0077731E"/>
    <w:rsid w:val="007804F0"/>
    <w:rsid w:val="007F6567"/>
    <w:rsid w:val="00825ED7"/>
    <w:rsid w:val="00832532"/>
    <w:rsid w:val="008458E0"/>
    <w:rsid w:val="00851756"/>
    <w:rsid w:val="008A6755"/>
    <w:rsid w:val="008B6D2A"/>
    <w:rsid w:val="009301AD"/>
    <w:rsid w:val="0093305E"/>
    <w:rsid w:val="00941949"/>
    <w:rsid w:val="00955D66"/>
    <w:rsid w:val="009B4C8D"/>
    <w:rsid w:val="009C57B4"/>
    <w:rsid w:val="009C767E"/>
    <w:rsid w:val="009E6599"/>
    <w:rsid w:val="00A65B62"/>
    <w:rsid w:val="00AC1B92"/>
    <w:rsid w:val="00AD35C2"/>
    <w:rsid w:val="00AD4230"/>
    <w:rsid w:val="00B35F35"/>
    <w:rsid w:val="00B41241"/>
    <w:rsid w:val="00B526D5"/>
    <w:rsid w:val="00B702F6"/>
    <w:rsid w:val="00BA2704"/>
    <w:rsid w:val="00BA56AD"/>
    <w:rsid w:val="00BC1336"/>
    <w:rsid w:val="00BD1777"/>
    <w:rsid w:val="00BD7A99"/>
    <w:rsid w:val="00C01601"/>
    <w:rsid w:val="00C179D3"/>
    <w:rsid w:val="00C20F08"/>
    <w:rsid w:val="00C51242"/>
    <w:rsid w:val="00CA2D8E"/>
    <w:rsid w:val="00CB64CA"/>
    <w:rsid w:val="00D558F1"/>
    <w:rsid w:val="00DB1993"/>
    <w:rsid w:val="00E10586"/>
    <w:rsid w:val="00E51A85"/>
    <w:rsid w:val="00E67CDD"/>
    <w:rsid w:val="00E714DC"/>
    <w:rsid w:val="00E85F90"/>
    <w:rsid w:val="00E917B7"/>
    <w:rsid w:val="00EF6DB3"/>
    <w:rsid w:val="00F0022F"/>
    <w:rsid w:val="00F15AB3"/>
    <w:rsid w:val="00F3532E"/>
    <w:rsid w:val="00F43FFA"/>
    <w:rsid w:val="00FD225A"/>
    <w:rsid w:val="00FD48AF"/>
    <w:rsid w:val="01DE98A2"/>
    <w:rsid w:val="0381E4A9"/>
    <w:rsid w:val="0440A9A1"/>
    <w:rsid w:val="04E9E090"/>
    <w:rsid w:val="052730B9"/>
    <w:rsid w:val="09932392"/>
    <w:rsid w:val="09DEBFB5"/>
    <w:rsid w:val="0A36FDEF"/>
    <w:rsid w:val="0B2EA436"/>
    <w:rsid w:val="0BD9E9A2"/>
    <w:rsid w:val="0F0CC4D4"/>
    <w:rsid w:val="0F7272EB"/>
    <w:rsid w:val="1113A090"/>
    <w:rsid w:val="1253CCD8"/>
    <w:rsid w:val="13F00044"/>
    <w:rsid w:val="149590D4"/>
    <w:rsid w:val="1555F857"/>
    <w:rsid w:val="15B4E1B0"/>
    <w:rsid w:val="17B461A6"/>
    <w:rsid w:val="17FC8B7C"/>
    <w:rsid w:val="19A6FA52"/>
    <w:rsid w:val="19E93DF6"/>
    <w:rsid w:val="1C8D491D"/>
    <w:rsid w:val="1CC7A5BE"/>
    <w:rsid w:val="1DE25882"/>
    <w:rsid w:val="1E71C3CC"/>
    <w:rsid w:val="1ED29F93"/>
    <w:rsid w:val="2001F54E"/>
    <w:rsid w:val="22DF7212"/>
    <w:rsid w:val="25F61698"/>
    <w:rsid w:val="270C0F59"/>
    <w:rsid w:val="29F73501"/>
    <w:rsid w:val="2ADAB96F"/>
    <w:rsid w:val="2BEC9D7F"/>
    <w:rsid w:val="2E020823"/>
    <w:rsid w:val="2E3609A0"/>
    <w:rsid w:val="2E544B96"/>
    <w:rsid w:val="2EE0CAFF"/>
    <w:rsid w:val="2FCB80C4"/>
    <w:rsid w:val="31B5568C"/>
    <w:rsid w:val="31BCDACD"/>
    <w:rsid w:val="31C2C1FC"/>
    <w:rsid w:val="3369C20C"/>
    <w:rsid w:val="33FB3D93"/>
    <w:rsid w:val="37894B1C"/>
    <w:rsid w:val="37AEFCEE"/>
    <w:rsid w:val="3A39AE65"/>
    <w:rsid w:val="3A7CAB1F"/>
    <w:rsid w:val="3D5B3F90"/>
    <w:rsid w:val="3D7B659F"/>
    <w:rsid w:val="3DA4C265"/>
    <w:rsid w:val="3F0037C0"/>
    <w:rsid w:val="3FE01E63"/>
    <w:rsid w:val="405094EB"/>
    <w:rsid w:val="4287BB25"/>
    <w:rsid w:val="43B6ECBA"/>
    <w:rsid w:val="440311CD"/>
    <w:rsid w:val="4435839A"/>
    <w:rsid w:val="477EE5F1"/>
    <w:rsid w:val="490D4BC6"/>
    <w:rsid w:val="4928D263"/>
    <w:rsid w:val="4B367163"/>
    <w:rsid w:val="4CCD423B"/>
    <w:rsid w:val="4E3E0962"/>
    <w:rsid w:val="4F71B6D1"/>
    <w:rsid w:val="520189A8"/>
    <w:rsid w:val="525AEB6B"/>
    <w:rsid w:val="52B51F8A"/>
    <w:rsid w:val="537B790A"/>
    <w:rsid w:val="541F4480"/>
    <w:rsid w:val="5614116C"/>
    <w:rsid w:val="574722C6"/>
    <w:rsid w:val="58682D5D"/>
    <w:rsid w:val="5A7DA73E"/>
    <w:rsid w:val="5C2A0DBF"/>
    <w:rsid w:val="5D1AE86A"/>
    <w:rsid w:val="5D731760"/>
    <w:rsid w:val="5EAFDF34"/>
    <w:rsid w:val="6000DA89"/>
    <w:rsid w:val="615C4BB1"/>
    <w:rsid w:val="635EEF77"/>
    <w:rsid w:val="64623723"/>
    <w:rsid w:val="650EB19F"/>
    <w:rsid w:val="65A534FB"/>
    <w:rsid w:val="6678AFE3"/>
    <w:rsid w:val="66FA87EB"/>
    <w:rsid w:val="67BC41CE"/>
    <w:rsid w:val="681F6150"/>
    <w:rsid w:val="69EB6E9A"/>
    <w:rsid w:val="6AAFC110"/>
    <w:rsid w:val="6D482908"/>
    <w:rsid w:val="6D80E1F0"/>
    <w:rsid w:val="6EC20DD1"/>
    <w:rsid w:val="6EF1C974"/>
    <w:rsid w:val="6F71F3EC"/>
    <w:rsid w:val="7287A531"/>
    <w:rsid w:val="72DD3F44"/>
    <w:rsid w:val="733C8A6B"/>
    <w:rsid w:val="74F60602"/>
    <w:rsid w:val="75A6B854"/>
    <w:rsid w:val="763FBCAC"/>
    <w:rsid w:val="789AC633"/>
    <w:rsid w:val="7A833E78"/>
    <w:rsid w:val="7AA1604D"/>
    <w:rsid w:val="7B14752C"/>
    <w:rsid w:val="7B23123A"/>
    <w:rsid w:val="7B85301E"/>
    <w:rsid w:val="7C33AC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DDD2"/>
  <w15:docId w15:val="{C748C631-553F-44AB-A9F5-92C68F50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55"/>
  </w:style>
  <w:style w:type="paragraph" w:styleId="Heading1">
    <w:name w:val="heading 1"/>
    <w:basedOn w:val="Normal"/>
    <w:next w:val="Normal"/>
    <w:link w:val="Heading1Char"/>
    <w:uiPriority w:val="9"/>
    <w:qFormat/>
    <w:rsid w:val="008A6755"/>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6755"/>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6755"/>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6755"/>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6755"/>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6755"/>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6755"/>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755"/>
    <w:pPr>
      <w:keepNext/>
      <w:keepLines/>
      <w:numPr>
        <w:ilvl w:val="7"/>
        <w:numId w:val="10"/>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A6755"/>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7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67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A67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675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675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67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67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675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8A6755"/>
    <w:rPr>
      <w:rFonts w:asciiTheme="majorHAnsi" w:eastAsiaTheme="majorEastAsia" w:hAnsiTheme="majorHAnsi" w:cstheme="majorBidi"/>
      <w:i/>
      <w:iCs/>
      <w:color w:val="404040" w:themeColor="text1" w:themeTint="BF"/>
      <w:szCs w:val="20"/>
    </w:rPr>
  </w:style>
  <w:style w:type="paragraph" w:styleId="NoSpacing">
    <w:name w:val="No Spacing"/>
    <w:uiPriority w:val="1"/>
    <w:qFormat/>
    <w:rsid w:val="008A6755"/>
    <w:pPr>
      <w:spacing w:after="0" w:line="240" w:lineRule="auto"/>
    </w:pPr>
  </w:style>
  <w:style w:type="paragraph" w:styleId="ListParagraph">
    <w:name w:val="List Paragraph"/>
    <w:basedOn w:val="Normal"/>
    <w:uiPriority w:val="34"/>
    <w:qFormat/>
    <w:rsid w:val="008A6755"/>
    <w:pPr>
      <w:ind w:left="720"/>
      <w:contextualSpacing/>
    </w:pPr>
  </w:style>
  <w:style w:type="table" w:styleId="TableGrid">
    <w:name w:val="Table Grid"/>
    <w:basedOn w:val="TableNormal"/>
    <w:uiPriority w:val="59"/>
    <w:rsid w:val="000A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07"/>
  </w:style>
  <w:style w:type="paragraph" w:styleId="Footer">
    <w:name w:val="footer"/>
    <w:basedOn w:val="Normal"/>
    <w:link w:val="FooterChar"/>
    <w:uiPriority w:val="99"/>
    <w:unhideWhenUsed/>
    <w:rsid w:val="005E6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07"/>
  </w:style>
  <w:style w:type="character" w:styleId="CommentReference">
    <w:name w:val="annotation reference"/>
    <w:basedOn w:val="DefaultParagraphFont"/>
    <w:uiPriority w:val="99"/>
    <w:semiHidden/>
    <w:unhideWhenUsed/>
    <w:rsid w:val="0055006F"/>
    <w:rPr>
      <w:sz w:val="16"/>
      <w:szCs w:val="16"/>
    </w:rPr>
  </w:style>
  <w:style w:type="paragraph" w:styleId="CommentText">
    <w:name w:val="annotation text"/>
    <w:basedOn w:val="Normal"/>
    <w:link w:val="CommentTextChar"/>
    <w:uiPriority w:val="99"/>
    <w:semiHidden/>
    <w:unhideWhenUsed/>
    <w:rsid w:val="0055006F"/>
    <w:pPr>
      <w:spacing w:line="240" w:lineRule="auto"/>
    </w:pPr>
    <w:rPr>
      <w:szCs w:val="20"/>
    </w:rPr>
  </w:style>
  <w:style w:type="character" w:customStyle="1" w:styleId="CommentTextChar">
    <w:name w:val="Comment Text Char"/>
    <w:basedOn w:val="DefaultParagraphFont"/>
    <w:link w:val="CommentText"/>
    <w:uiPriority w:val="99"/>
    <w:semiHidden/>
    <w:rsid w:val="0055006F"/>
    <w:rPr>
      <w:szCs w:val="20"/>
    </w:rPr>
  </w:style>
  <w:style w:type="paragraph" w:styleId="CommentSubject">
    <w:name w:val="annotation subject"/>
    <w:basedOn w:val="CommentText"/>
    <w:next w:val="CommentText"/>
    <w:link w:val="CommentSubjectChar"/>
    <w:uiPriority w:val="99"/>
    <w:semiHidden/>
    <w:unhideWhenUsed/>
    <w:rsid w:val="0055006F"/>
    <w:rPr>
      <w:b/>
      <w:bCs/>
    </w:rPr>
  </w:style>
  <w:style w:type="character" w:customStyle="1" w:styleId="CommentSubjectChar">
    <w:name w:val="Comment Subject Char"/>
    <w:basedOn w:val="CommentTextChar"/>
    <w:link w:val="CommentSubject"/>
    <w:uiPriority w:val="99"/>
    <w:semiHidden/>
    <w:rsid w:val="0055006F"/>
    <w:rPr>
      <w:b/>
      <w:bCs/>
      <w:szCs w:val="20"/>
    </w:rPr>
  </w:style>
  <w:style w:type="paragraph" w:styleId="BalloonText">
    <w:name w:val="Balloon Text"/>
    <w:basedOn w:val="Normal"/>
    <w:link w:val="BalloonTextChar"/>
    <w:uiPriority w:val="99"/>
    <w:semiHidden/>
    <w:unhideWhenUsed/>
    <w:rsid w:val="00550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06F"/>
    <w:rPr>
      <w:rFonts w:ascii="Tahoma" w:hAnsi="Tahoma" w:cs="Tahoma"/>
      <w:sz w:val="16"/>
      <w:szCs w:val="16"/>
    </w:rPr>
  </w:style>
  <w:style w:type="character" w:styleId="Hyperlink">
    <w:name w:val="Hyperlink"/>
    <w:basedOn w:val="DefaultParagraphFont"/>
    <w:uiPriority w:val="99"/>
    <w:unhideWhenUsed/>
    <w:rsid w:val="00777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3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F1E695D196E41BBF7A426B72EA667" ma:contentTypeVersion="14" ma:contentTypeDescription="Create a new document." ma:contentTypeScope="" ma:versionID="46ff5d28606675f79235b6da41938ed5">
  <xsd:schema xmlns:xsd="http://www.w3.org/2001/XMLSchema" xmlns:xs="http://www.w3.org/2001/XMLSchema" xmlns:p="http://schemas.microsoft.com/office/2006/metadata/properties" xmlns:ns2="3f23bf88-ed6d-4c76-a133-0e14785d06a6" xmlns:ns3="257f4177-1c7d-450a-89bd-decab05d6acf" targetNamespace="http://schemas.microsoft.com/office/2006/metadata/properties" ma:root="true" ma:fieldsID="526d63788be0d9470ebeb8208fddbd51" ns2:_="" ns3:_="">
    <xsd:import namespace="3f23bf88-ed6d-4c76-a133-0e14785d06a6"/>
    <xsd:import namespace="257f4177-1c7d-450a-89bd-decab05d6a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3bf88-ed6d-4c76-a133-0e14785d0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6a1112-e717-487e-ad5e-2698164655a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7f4177-1c7d-450a-89bd-decab05d6ac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7eaac9-19b0-4078-8b35-79f4d11fa3cf}" ma:internalName="TaxCatchAll" ma:showField="CatchAllData" ma:web="257f4177-1c7d-450a-89bd-decab05d6ac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3bf88-ed6d-4c76-a133-0e14785d06a6">
      <Terms xmlns="http://schemas.microsoft.com/office/infopath/2007/PartnerControls"/>
    </lcf76f155ced4ddcb4097134ff3c332f>
    <TaxCatchAll xmlns="257f4177-1c7d-450a-89bd-decab05d6acf" xsi:nil="true"/>
  </documentManagement>
</p:properties>
</file>

<file path=customXml/itemProps1.xml><?xml version="1.0" encoding="utf-8"?>
<ds:datastoreItem xmlns:ds="http://schemas.openxmlformats.org/officeDocument/2006/customXml" ds:itemID="{6655867B-15EA-45AC-ADB7-67E9C59FD9A4}">
  <ds:schemaRefs>
    <ds:schemaRef ds:uri="http://schemas.microsoft.com/sharepoint/v3/contenttype/forms"/>
  </ds:schemaRefs>
</ds:datastoreItem>
</file>

<file path=customXml/itemProps2.xml><?xml version="1.0" encoding="utf-8"?>
<ds:datastoreItem xmlns:ds="http://schemas.openxmlformats.org/officeDocument/2006/customXml" ds:itemID="{0780ACAE-788F-4F9C-9B20-EF5376EF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3bf88-ed6d-4c76-a133-0e14785d06a6"/>
    <ds:schemaRef ds:uri="257f4177-1c7d-450a-89bd-decab05d6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1D2E4-4D43-4A38-AA8F-9798A5E2BEDE}">
  <ds:schemaRefs>
    <ds:schemaRef ds:uri="http://schemas.microsoft.com/office/2006/metadata/properties"/>
    <ds:schemaRef ds:uri="http://schemas.microsoft.com/office/infopath/2007/PartnerControls"/>
    <ds:schemaRef ds:uri="3f23bf88-ed6d-4c76-a133-0e14785d06a6"/>
    <ds:schemaRef ds:uri="257f4177-1c7d-450a-89bd-decab05d6a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Pinnington</dc:creator>
  <cp:keywords/>
  <cp:lastModifiedBy>Sharon Braney</cp:lastModifiedBy>
  <cp:revision>2</cp:revision>
  <cp:lastPrinted>2016-03-01T13:08:00Z</cp:lastPrinted>
  <dcterms:created xsi:type="dcterms:W3CDTF">2025-08-04T07:28:00Z</dcterms:created>
  <dcterms:modified xsi:type="dcterms:W3CDTF">2025-08-04T07:28:00Z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0x0101004FDF1E695D196E41BBF7A426B72EA667</vt:lpwstr>
  </property>
  <property fmtid="{D5CDD505-2E9C-101B-9397-08002B2CF9AE}" pid="3" name="MediaServiceImageTags">
    <vt:lpwstr/>
  </property>
</Properties>
</file>